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5F05AE" w:rsidP="005F05AE">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重点单位重要部位安防范系统要求 医院</w:t>
      </w:r>
    </w:p>
    <w:p w:rsidR="005F05AE" w:rsidRPr="005F05AE" w:rsidRDefault="005F05AE" w:rsidP="005F05AE">
      <w:pPr>
        <w:widowControl/>
        <w:shd w:val="clear" w:color="auto" w:fill="FFFFFF"/>
        <w:spacing w:before="156" w:after="156" w:line="400" w:lineRule="atLeast"/>
        <w:jc w:val="left"/>
        <w:rPr>
          <w:rFonts w:ascii="微软雅黑" w:eastAsia="微软雅黑" w:hAnsi="微软雅黑" w:cs="宋体"/>
          <w:color w:val="4A4A4A"/>
          <w:kern w:val="0"/>
          <w:sz w:val="18"/>
          <w:szCs w:val="18"/>
        </w:rPr>
      </w:pPr>
      <w:r w:rsidRPr="005F05AE">
        <w:rPr>
          <w:rFonts w:ascii="黑体" w:eastAsia="黑体" w:hAnsi="黑体" w:cs="宋体" w:hint="eastAsia"/>
          <w:b/>
          <w:bCs/>
          <w:color w:val="4A4A4A"/>
          <w:kern w:val="0"/>
          <w:szCs w:val="21"/>
        </w:rPr>
        <w:t>1</w:t>
      </w:r>
      <w:r w:rsidRPr="005F05AE">
        <w:rPr>
          <w:rFonts w:ascii="宋体" w:eastAsia="宋体" w:hAnsi="宋体" w:cs="宋体" w:hint="eastAsia"/>
          <w:b/>
          <w:bCs/>
          <w:color w:val="4A4A4A"/>
          <w:kern w:val="0"/>
          <w:szCs w:val="21"/>
        </w:rPr>
        <w:t>  </w:t>
      </w:r>
      <w:r w:rsidRPr="005F05AE">
        <w:rPr>
          <w:rFonts w:ascii="黑体" w:eastAsia="黑体" w:hAnsi="黑体" w:cs="宋体" w:hint="eastAsia"/>
          <w:b/>
          <w:bCs/>
          <w:color w:val="4A4A4A"/>
          <w:kern w:val="0"/>
          <w:szCs w:val="21"/>
        </w:rPr>
        <w:t>范围</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Cs w:val="21"/>
        </w:rPr>
        <w:t>本标准规定了本市医院安全技术防范系统的设计、施工、检验、验收、维护。</w:t>
      </w:r>
    </w:p>
    <w:p w:rsidR="005F05AE" w:rsidRPr="005F05AE" w:rsidRDefault="005F05AE" w:rsidP="005F0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本标准适用于本市行政区域内依照《医疗机构管理条例》等法规的规定，取得《医疗机构执业许可证》的二级（含）以上医院的安全技术防范系统。</w:t>
      </w:r>
    </w:p>
    <w:p w:rsidR="005F05AE" w:rsidRPr="005F05AE" w:rsidRDefault="005F05AE" w:rsidP="005F0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其他医疗机构参照本标准执行。</w:t>
      </w:r>
    </w:p>
    <w:p w:rsidR="005F05AE" w:rsidRPr="005F05AE" w:rsidRDefault="005F05AE" w:rsidP="005F05AE">
      <w:pPr>
        <w:widowControl/>
        <w:shd w:val="clear" w:color="auto" w:fill="FFFFFF"/>
        <w:spacing w:before="156" w:after="156"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2</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规范性引用文件</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下列文件的条款通过本标准的引用而成为本标准的条款。凡是注日期的引用文件，其随后所有的修改单（不包括勘误的内容）或修订版均不适用于本标准，然而，鼓励根据本标准达成协议的各方研究是否使用这些文件的最新版本。凡是不注日期的引用文件，其最新版本适用于本标准。</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GB 12663  防盗报警控制器通用技术条件</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GB 15208  微剂量X射线安全检查设备</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GB 20815  视频安防监控数字录像设备</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GB 50198-1994 </w:t>
      </w:r>
      <w:r w:rsidRPr="005F05AE">
        <w:rPr>
          <w:rFonts w:ascii="宋体" w:eastAsia="宋体" w:hAnsi="宋体" w:cs="宋体" w:hint="eastAsia"/>
          <w:color w:val="4A4A4A"/>
          <w:spacing w:val="18"/>
          <w:kern w:val="0"/>
          <w:sz w:val="18"/>
          <w:szCs w:val="18"/>
        </w:rPr>
        <w:t> </w:t>
      </w:r>
      <w:r w:rsidRPr="005F05AE">
        <w:rPr>
          <w:rFonts w:ascii="宋体" w:eastAsia="宋体" w:hAnsi="宋体" w:cs="宋体" w:hint="eastAsia"/>
          <w:color w:val="4A4A4A"/>
          <w:spacing w:val="-12"/>
          <w:kern w:val="0"/>
          <w:sz w:val="18"/>
          <w:szCs w:val="18"/>
        </w:rPr>
        <w:t>民用闭路监视电视系统工程技术规范</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GB 50348-2004  安全防范工程技术规范</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GB 50394  入侵报警系统工程设计规范</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GB 50395  视频安防监控系统工程设计规范</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GB 50396  出入口控制系统工程设计规范</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GA/T 75  安全防范工程程序与要求</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GA 308  安全防范系统验收规则</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GA/T 644  电子巡查系统技术要求</w:t>
      </w:r>
    </w:p>
    <w:p w:rsidR="005F05AE" w:rsidRPr="005F05AE" w:rsidRDefault="005F05AE" w:rsidP="005F05AE">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DB 31/321    防盗防火安全门通用技术条件</w:t>
      </w:r>
    </w:p>
    <w:p w:rsidR="005F05AE" w:rsidRPr="005F05AE" w:rsidRDefault="005F05AE" w:rsidP="005F05AE">
      <w:pPr>
        <w:widowControl/>
        <w:shd w:val="clear" w:color="auto" w:fill="FFFFFF"/>
        <w:spacing w:before="156" w:after="156"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3</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系统要求总体配置要求</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3.1</w:t>
      </w:r>
      <w:r w:rsidRPr="005F05AE">
        <w:rPr>
          <w:rFonts w:ascii="宋体" w:eastAsia="宋体" w:hAnsi="宋体" w:cs="宋体" w:hint="eastAsia"/>
          <w:color w:val="4A4A4A"/>
          <w:kern w:val="0"/>
          <w:sz w:val="18"/>
          <w:szCs w:val="18"/>
        </w:rPr>
        <w:t>  安全技术防范系统中使用的设备和产品应符合国家法律法规和现行强制性标准的要求，并通过相应的CCC认证、生产登记批准、型式检验合格。</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3.2</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安全技术防范系统的设计原则应符合GB 50348的规定。</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3.3</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医院的重要部位的安全技术防范系统建设应根据表1的要求配置。</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3.4</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安全技术防范系统的设计、施工程序应符合GA/T 75的规定。</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3.5</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医院的安全技术防范系统建设应纳入工程建设的总体规划，并应综合设计、同步施工、独立验收、同时交付使用。</w:t>
      </w:r>
    </w:p>
    <w:p w:rsidR="005F05AE" w:rsidRPr="005F05AE" w:rsidRDefault="005F05AE" w:rsidP="005F05AE">
      <w:pPr>
        <w:widowControl/>
        <w:shd w:val="clear" w:color="auto" w:fill="FFFFFF"/>
        <w:spacing w:line="400" w:lineRule="atLeast"/>
        <w:jc w:val="center"/>
        <w:rPr>
          <w:rFonts w:ascii="微软雅黑" w:eastAsia="微软雅黑" w:hAnsi="微软雅黑" w:cs="宋体" w:hint="eastAsia"/>
          <w:color w:val="4A4A4A"/>
          <w:kern w:val="0"/>
          <w:sz w:val="18"/>
          <w:szCs w:val="18"/>
        </w:rPr>
      </w:pPr>
      <w:r w:rsidRPr="005F05AE">
        <w:rPr>
          <w:rFonts w:ascii="宋体" w:eastAsia="宋体" w:hAnsi="宋体" w:cs="宋体" w:hint="eastAsia"/>
          <w:b/>
          <w:bCs/>
          <w:color w:val="4A4A4A"/>
          <w:kern w:val="0"/>
          <w:sz w:val="18"/>
          <w:szCs w:val="18"/>
        </w:rPr>
        <w:t> </w:t>
      </w:r>
    </w:p>
    <w:p w:rsidR="005F05AE" w:rsidRPr="005F05AE" w:rsidRDefault="005F05AE" w:rsidP="005F05AE">
      <w:pPr>
        <w:widowControl/>
        <w:shd w:val="clear" w:color="auto" w:fill="FFFFFF"/>
        <w:spacing w:line="400" w:lineRule="atLeast"/>
        <w:jc w:val="center"/>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表</w:t>
      </w:r>
      <w:r w:rsidRPr="005F05AE">
        <w:rPr>
          <w:rFonts w:ascii="宋体" w:eastAsia="宋体" w:hAnsi="宋体" w:cs="宋体" w:hint="eastAsia"/>
          <w:b/>
          <w:bCs/>
          <w:color w:val="4A4A4A"/>
          <w:kern w:val="0"/>
          <w:sz w:val="18"/>
          <w:szCs w:val="18"/>
        </w:rPr>
        <w:t>1    </w:t>
      </w:r>
      <w:r w:rsidRPr="005F05AE">
        <w:rPr>
          <w:rFonts w:ascii="黑体" w:eastAsia="黑体" w:hAnsi="黑体" w:cs="宋体" w:hint="eastAsia"/>
          <w:b/>
          <w:bCs/>
          <w:color w:val="4A4A4A"/>
          <w:kern w:val="0"/>
          <w:sz w:val="18"/>
          <w:szCs w:val="18"/>
        </w:rPr>
        <w:t>医院重要部位安全技术防范设施基本配置要求</w:t>
      </w:r>
    </w:p>
    <w:tbl>
      <w:tblPr>
        <w:tblW w:w="8820" w:type="dxa"/>
        <w:jc w:val="center"/>
        <w:tblCellMar>
          <w:left w:w="0" w:type="dxa"/>
          <w:right w:w="0" w:type="dxa"/>
        </w:tblCellMar>
        <w:tblLook w:val="04A0" w:firstRow="1" w:lastRow="0" w:firstColumn="1" w:lastColumn="0" w:noHBand="0" w:noVBand="1"/>
      </w:tblPr>
      <w:tblGrid>
        <w:gridCol w:w="449"/>
        <w:gridCol w:w="396"/>
        <w:gridCol w:w="2688"/>
        <w:gridCol w:w="4645"/>
        <w:gridCol w:w="642"/>
      </w:tblGrid>
      <w:tr w:rsidR="005F05AE" w:rsidRPr="005F05AE" w:rsidTr="005F05AE">
        <w:trPr>
          <w:jc w:val="center"/>
        </w:trPr>
        <w:tc>
          <w:tcPr>
            <w:tcW w:w="450" w:type="dxa"/>
            <w:tcBorders>
              <w:top w:val="single" w:sz="12"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序</w:t>
            </w:r>
            <w:r w:rsidRPr="005F05AE">
              <w:rPr>
                <w:rFonts w:ascii="宋体" w:eastAsia="宋体" w:hAnsi="宋体" w:cs="宋体" w:hint="eastAsia"/>
                <w:color w:val="000000"/>
                <w:kern w:val="0"/>
                <w:sz w:val="18"/>
                <w:szCs w:val="18"/>
              </w:rPr>
              <w:lastRenderedPageBreak/>
              <w:t>号</w:t>
            </w:r>
          </w:p>
        </w:tc>
        <w:tc>
          <w:tcPr>
            <w:tcW w:w="3060" w:type="dxa"/>
            <w:gridSpan w:val="2"/>
            <w:tcBorders>
              <w:top w:val="single" w:sz="12"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18"/>
                <w:szCs w:val="18"/>
              </w:rPr>
            </w:pPr>
            <w:r w:rsidRPr="005F05AE">
              <w:rPr>
                <w:rFonts w:ascii="宋体" w:eastAsia="宋体" w:hAnsi="宋体" w:cs="宋体" w:hint="eastAsia"/>
                <w:color w:val="000000"/>
                <w:kern w:val="0"/>
                <w:sz w:val="20"/>
                <w:szCs w:val="20"/>
              </w:rPr>
              <w:lastRenderedPageBreak/>
              <w:t>项目</w:t>
            </w:r>
          </w:p>
        </w:tc>
        <w:tc>
          <w:tcPr>
            <w:tcW w:w="4667" w:type="dxa"/>
            <w:tcBorders>
              <w:top w:val="single" w:sz="12"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18"/>
                <w:szCs w:val="18"/>
              </w:rPr>
            </w:pPr>
            <w:r w:rsidRPr="005F05AE">
              <w:rPr>
                <w:rFonts w:ascii="宋体" w:eastAsia="宋体" w:hAnsi="宋体" w:cs="宋体" w:hint="eastAsia"/>
                <w:color w:val="000000"/>
                <w:kern w:val="0"/>
                <w:sz w:val="20"/>
                <w:szCs w:val="20"/>
              </w:rPr>
              <w:t>安装区域或覆盖范围</w:t>
            </w:r>
          </w:p>
        </w:tc>
        <w:tc>
          <w:tcPr>
            <w:tcW w:w="642" w:type="dxa"/>
            <w:tcBorders>
              <w:top w:val="single" w:sz="12" w:space="0" w:color="auto"/>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配置</w:t>
            </w:r>
            <w:r w:rsidRPr="005F05AE">
              <w:rPr>
                <w:rFonts w:ascii="宋体" w:eastAsia="宋体" w:hAnsi="宋体" w:cs="宋体" w:hint="eastAsia"/>
                <w:color w:val="000000"/>
                <w:kern w:val="0"/>
                <w:sz w:val="18"/>
                <w:szCs w:val="18"/>
              </w:rPr>
              <w:lastRenderedPageBreak/>
              <w:t>要求</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lastRenderedPageBreak/>
              <w:t>1</w:t>
            </w:r>
          </w:p>
        </w:tc>
        <w:tc>
          <w:tcPr>
            <w:tcW w:w="36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视频安防监控系统</w:t>
            </w:r>
          </w:p>
        </w:tc>
        <w:tc>
          <w:tcPr>
            <w:tcW w:w="270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彩色摄像机</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医院周界</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9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医院出入口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9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运钞车停放处</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9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运钞车交接款通道</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机动车停车场（库）出入口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309"/>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医院内主干道</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14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机动车停车场（库）内</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门（急）诊部、住院楼出入口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门（急）诊部、住院楼各楼层出入口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门（急）诊部、住院楼各楼层电梯厅、自动扶梯口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电梯轿厢内</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14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门（急）诊候诊区域</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277"/>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门（急）诊预检处</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门（急）诊大厅内</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9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急诊护士台、住院病区护士台</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9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收费窗口处</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9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药房窗口处</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7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门（急）诊补液室内</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71"/>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19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验血采（抽）血处</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71"/>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手术室外等候区域</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重症监护室外等候区域</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14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lastRenderedPageBreak/>
              <w:t>22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新生儿病室内</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9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太平间出入口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299"/>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住院病区膳食加工配制区域</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药库、国家管制的麻醉类和精神类药品集中存储场所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病史室、病理室内</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58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重要实验室（含高致病性病原微生物实验、存储场所）出入口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3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计算机网络管理中心</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3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29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易燃易爆品集中存储场所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医院配电站出入口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7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7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7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医院配电站内</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7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209"/>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09"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09"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安防中心控制室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09"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9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彩色摄像机、声音复核装置</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医患纠纷接待室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9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1"/>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1"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270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1"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处理/控制、记录与显示设备</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1"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值班室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1"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328"/>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安防中心控制室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229"/>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29"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36</w:t>
            </w:r>
          </w:p>
        </w:tc>
        <w:tc>
          <w:tcPr>
            <w:tcW w:w="36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29"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入侵报警系统</w:t>
            </w:r>
          </w:p>
        </w:tc>
        <w:tc>
          <w:tcPr>
            <w:tcW w:w="270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29"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入侵探测器</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29"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药库、国家管制的麻醉类和精神类药品集中存储场所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29"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289"/>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档案室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 强制</w:t>
            </w:r>
          </w:p>
        </w:tc>
      </w:tr>
      <w:tr w:rsidR="005F05AE" w:rsidRPr="005F05AE" w:rsidTr="005F05AE">
        <w:trPr>
          <w:cantSplit/>
          <w:trHeight w:val="15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5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5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防盗保险箱（柜）存放场所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5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251"/>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39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重要实验室（含高致病性病原微生物实验、存储场所）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29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40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易燃易爆品集中存放场所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3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41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270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紧急报警装置</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门卫室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42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院长办公室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1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lastRenderedPageBreak/>
              <w:t>43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门（急）诊预检处</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44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急诊护士台、住院病区护士台</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00"/>
          <w:jc w:val="center"/>
        </w:trPr>
        <w:tc>
          <w:tcPr>
            <w:tcW w:w="450" w:type="dxa"/>
            <w:tcBorders>
              <w:top w:val="outset" w:sz="6" w:space="0" w:color="ECE9D8"/>
              <w:left w:val="single" w:sz="12"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45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医患纠纷接待室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75"/>
          <w:jc w:val="center"/>
        </w:trPr>
        <w:tc>
          <w:tcPr>
            <w:tcW w:w="450" w:type="dxa"/>
            <w:tcBorders>
              <w:top w:val="single" w:sz="8" w:space="0" w:color="auto"/>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7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46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7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收费窗口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7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7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7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47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7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重要实验室（含高致病微生物实验、存储场所）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7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25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48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病史室、档案室、计算机网络管理中心</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247"/>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18"/>
                <w:szCs w:val="18"/>
              </w:rPr>
            </w:pPr>
            <w:r w:rsidRPr="005F05AE">
              <w:rPr>
                <w:rFonts w:ascii="Times New Roman" w:eastAsia="宋体" w:hAnsi="Times New Roman" w:cs="Times New Roman"/>
                <w:color w:val="000000"/>
                <w:kern w:val="0"/>
                <w:sz w:val="20"/>
                <w:szCs w:val="20"/>
              </w:rPr>
              <w:t>49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安防中心控制室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277"/>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270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处理/控制/管理设备</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独立设防区域</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277"/>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安防中心控制室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309"/>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18"/>
                <w:szCs w:val="18"/>
              </w:rPr>
            </w:pPr>
            <w:r w:rsidRPr="005F05AE">
              <w:rPr>
                <w:rFonts w:ascii="宋体" w:eastAsia="宋体" w:hAnsi="宋体" w:cs="宋体" w:hint="eastAsia"/>
                <w:color w:val="000000"/>
                <w:kern w:val="0"/>
                <w:sz w:val="20"/>
                <w:szCs w:val="20"/>
              </w:rPr>
              <w:t>52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终端图形显示装置/记录设备</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安防中心控制室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53</w:t>
            </w:r>
          </w:p>
        </w:tc>
        <w:tc>
          <w:tcPr>
            <w:tcW w:w="36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出入口控制系统</w:t>
            </w:r>
          </w:p>
        </w:tc>
        <w:tc>
          <w:tcPr>
            <w:tcW w:w="270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识读/执行设备</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收费窗口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重要实验室（含高致病性病原微生物实验、存储场所）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2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2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2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计算机网络管理中心</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2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重要设备机房（含锅炉房）出入口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14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档案室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5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5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5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药库、国家管制的麻醉类和精神类药品集中存储场所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5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3"/>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59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易燃易爆品集中存储场所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3"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4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安防中心控制室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4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3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27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联网显示/编程/管理/控制设备</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安防中心控制室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3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62</w:t>
            </w:r>
          </w:p>
        </w:tc>
        <w:tc>
          <w:tcPr>
            <w:tcW w:w="306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机动车停车场（库）管理系统</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机动车停车场（库）出入口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344"/>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63</w:t>
            </w:r>
          </w:p>
        </w:tc>
        <w:tc>
          <w:tcPr>
            <w:tcW w:w="3060"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通讯显示系统</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医患纠纷接待室、医院领导办公室、总值班电话</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lastRenderedPageBreak/>
              <w:t>64</w:t>
            </w:r>
          </w:p>
        </w:tc>
        <w:tc>
          <w:tcPr>
            <w:tcW w:w="3060"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电子巡查系统</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重要设备机房（含锅炉房）区域</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3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65</w:t>
            </w:r>
          </w:p>
        </w:tc>
        <w:tc>
          <w:tcPr>
            <w:tcW w:w="0" w:type="auto"/>
            <w:gridSpan w:val="2"/>
            <w:vMerge/>
            <w:tcBorders>
              <w:top w:val="outset" w:sz="6" w:space="0" w:color="ECE9D8"/>
              <w:left w:val="single" w:sz="12" w:space="0" w:color="auto"/>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住院楼各楼层</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3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66</w:t>
            </w:r>
          </w:p>
        </w:tc>
        <w:tc>
          <w:tcPr>
            <w:tcW w:w="0" w:type="auto"/>
            <w:gridSpan w:val="2"/>
            <w:vMerge/>
            <w:tcBorders>
              <w:top w:val="outset" w:sz="6" w:space="0" w:color="ECE9D8"/>
              <w:left w:val="single" w:sz="12" w:space="0" w:color="auto"/>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药库、国家管制的麻醉类和精神类药品集中存储场所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221"/>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21"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67</w:t>
            </w:r>
          </w:p>
        </w:tc>
        <w:tc>
          <w:tcPr>
            <w:tcW w:w="0" w:type="auto"/>
            <w:gridSpan w:val="2"/>
            <w:vMerge/>
            <w:tcBorders>
              <w:top w:val="outset" w:sz="6" w:space="0" w:color="ECE9D8"/>
              <w:left w:val="single" w:sz="12" w:space="0" w:color="auto"/>
              <w:bottom w:val="single" w:sz="8"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21"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机动车、非机动车停车场（库）周边</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21"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推荐</w:t>
            </w:r>
          </w:p>
        </w:tc>
      </w:tr>
      <w:tr w:rsidR="005F05AE" w:rsidRPr="005F05AE" w:rsidTr="005F05AE">
        <w:trPr>
          <w:cantSplit/>
          <w:trHeight w:val="72"/>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68</w:t>
            </w:r>
          </w:p>
        </w:tc>
        <w:tc>
          <w:tcPr>
            <w:tcW w:w="360"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实体防护装置</w:t>
            </w:r>
          </w:p>
        </w:tc>
        <w:tc>
          <w:tcPr>
            <w:tcW w:w="2700" w:type="dxa"/>
            <w:vMerge w:val="restart"/>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2"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spacing w:val="-8"/>
                <w:kern w:val="0"/>
                <w:sz w:val="18"/>
                <w:szCs w:val="18"/>
              </w:rPr>
              <w:t>防盗防火安全门</w:t>
            </w:r>
            <w:r w:rsidRPr="005F05AE">
              <w:rPr>
                <w:rFonts w:ascii="宋体" w:eastAsia="宋体" w:hAnsi="宋体" w:cs="宋体" w:hint="eastAsia"/>
                <w:color w:val="000000"/>
                <w:kern w:val="0"/>
                <w:sz w:val="18"/>
                <w:szCs w:val="18"/>
              </w:rPr>
              <w:t>/防盗栅栏</w:t>
            </w: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2"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收费窗口处出入口</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2"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71"/>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69</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病史室、病理室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71"/>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70</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档案室</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71"/>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71</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计算机网络管理中心</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1"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3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72</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药库、国家管制的麻醉类和精神类药品集中存储场所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5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5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73</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5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防盗保险箱（柜）存放场所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5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75"/>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5"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74</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5"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重要实验室（含高致病性病原微生物实验、存储场所）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75"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100"/>
          <w:jc w:val="center"/>
        </w:trPr>
        <w:tc>
          <w:tcPr>
            <w:tcW w:w="450" w:type="dxa"/>
            <w:tcBorders>
              <w:top w:val="outset" w:sz="6" w:space="0" w:color="ECE9D8"/>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75</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易燃易爆品集中存储场所</w:t>
            </w:r>
          </w:p>
        </w:tc>
        <w:tc>
          <w:tcPr>
            <w:tcW w:w="642" w:type="dxa"/>
            <w:tcBorders>
              <w:top w:val="outset" w:sz="6" w:space="0" w:color="ECE9D8"/>
              <w:left w:val="outset" w:sz="6" w:space="0" w:color="ECE9D8"/>
              <w:bottom w:val="single" w:sz="8"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10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r w:rsidR="005F05AE" w:rsidRPr="005F05AE" w:rsidTr="005F05AE">
        <w:trPr>
          <w:cantSplit/>
          <w:trHeight w:val="270"/>
          <w:jc w:val="center"/>
        </w:trPr>
        <w:tc>
          <w:tcPr>
            <w:tcW w:w="450" w:type="dxa"/>
            <w:tcBorders>
              <w:top w:val="outset" w:sz="6" w:space="0" w:color="ECE9D8"/>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76</w:t>
            </w: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0" w:type="auto"/>
            <w:vMerge/>
            <w:tcBorders>
              <w:top w:val="outset" w:sz="6" w:space="0" w:color="ECE9D8"/>
              <w:left w:val="outset" w:sz="6" w:space="0" w:color="ECE9D8"/>
              <w:bottom w:val="single" w:sz="12" w:space="0" w:color="auto"/>
              <w:right w:val="single" w:sz="8" w:space="0" w:color="auto"/>
            </w:tcBorders>
            <w:vAlign w:val="center"/>
            <w:hideMark/>
          </w:tcPr>
          <w:p w:rsidR="005F05AE" w:rsidRPr="005F05AE" w:rsidRDefault="005F05AE" w:rsidP="005F05AE">
            <w:pPr>
              <w:widowControl/>
              <w:jc w:val="left"/>
              <w:rPr>
                <w:rFonts w:ascii="宋体" w:eastAsia="宋体" w:hAnsi="宋体" w:cs="宋体"/>
                <w:color w:val="000000"/>
                <w:kern w:val="0"/>
                <w:sz w:val="24"/>
                <w:szCs w:val="24"/>
              </w:rPr>
            </w:pPr>
          </w:p>
        </w:tc>
        <w:tc>
          <w:tcPr>
            <w:tcW w:w="4667" w:type="dxa"/>
            <w:tcBorders>
              <w:top w:val="outset" w:sz="6" w:space="0" w:color="ECE9D8"/>
              <w:left w:val="outset" w:sz="6" w:space="0" w:color="ECE9D8"/>
              <w:bottom w:val="single" w:sz="12" w:space="0" w:color="auto"/>
              <w:right w:val="single" w:sz="8"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left"/>
              <w:rPr>
                <w:rFonts w:ascii="宋体" w:eastAsia="宋体" w:hAnsi="宋体" w:cs="宋体"/>
                <w:color w:val="000000"/>
                <w:kern w:val="0"/>
                <w:sz w:val="24"/>
                <w:szCs w:val="24"/>
              </w:rPr>
            </w:pPr>
            <w:r w:rsidRPr="005F05AE">
              <w:rPr>
                <w:rFonts w:ascii="宋体" w:eastAsia="宋体" w:hAnsi="宋体" w:cs="宋体" w:hint="eastAsia"/>
                <w:color w:val="000000"/>
                <w:kern w:val="0"/>
                <w:sz w:val="18"/>
                <w:szCs w:val="18"/>
              </w:rPr>
              <w:t>安防中心控制室</w:t>
            </w:r>
          </w:p>
        </w:tc>
        <w:tc>
          <w:tcPr>
            <w:tcW w:w="642" w:type="dxa"/>
            <w:tcBorders>
              <w:top w:val="outset" w:sz="6" w:space="0" w:color="ECE9D8"/>
              <w:left w:val="outset" w:sz="6" w:space="0" w:color="ECE9D8"/>
              <w:bottom w:val="single" w:sz="12" w:space="0" w:color="auto"/>
              <w:right w:val="single" w:sz="12" w:space="0" w:color="auto"/>
            </w:tcBorders>
            <w:shd w:val="clear" w:color="auto" w:fill="auto"/>
            <w:tcMar>
              <w:top w:w="0" w:type="dxa"/>
              <w:left w:w="108" w:type="dxa"/>
              <w:bottom w:w="0" w:type="dxa"/>
              <w:right w:w="108" w:type="dxa"/>
            </w:tcMar>
            <w:vAlign w:val="center"/>
            <w:hideMark/>
          </w:tcPr>
          <w:p w:rsidR="005F05AE" w:rsidRPr="005F05AE" w:rsidRDefault="005F05AE" w:rsidP="005F05AE">
            <w:pPr>
              <w:widowControl/>
              <w:spacing w:line="280" w:lineRule="atLeast"/>
              <w:jc w:val="center"/>
              <w:rPr>
                <w:rFonts w:ascii="宋体" w:eastAsia="宋体" w:hAnsi="宋体" w:cs="宋体"/>
                <w:color w:val="000000"/>
                <w:kern w:val="0"/>
                <w:sz w:val="24"/>
                <w:szCs w:val="24"/>
              </w:rPr>
            </w:pPr>
            <w:r w:rsidRPr="005F05AE">
              <w:rPr>
                <w:rFonts w:ascii="宋体" w:eastAsia="宋体" w:hAnsi="宋体" w:cs="宋体"/>
                <w:color w:val="000000"/>
                <w:kern w:val="0"/>
                <w:sz w:val="24"/>
                <w:szCs w:val="24"/>
              </w:rPr>
              <w:br/>
            </w:r>
            <w:r w:rsidRPr="005F05AE">
              <w:rPr>
                <w:rFonts w:ascii="宋体" w:eastAsia="宋体" w:hAnsi="宋体" w:cs="宋体" w:hint="eastAsia"/>
                <w:color w:val="000000"/>
                <w:kern w:val="0"/>
                <w:sz w:val="18"/>
                <w:szCs w:val="18"/>
              </w:rPr>
              <w:t>强制</w:t>
            </w:r>
          </w:p>
        </w:tc>
      </w:tr>
    </w:tbl>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各子系统和集成要求</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视频安防监控系统</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4.1.1</w:t>
      </w:r>
      <w:r w:rsidRPr="005F05AE">
        <w:rPr>
          <w:rFonts w:ascii="宋体" w:eastAsia="宋体" w:hAnsi="宋体" w:cs="宋体" w:hint="eastAsia"/>
          <w:color w:val="4A4A4A"/>
          <w:kern w:val="0"/>
          <w:sz w:val="18"/>
          <w:szCs w:val="18"/>
        </w:rPr>
        <w:t>  系统应包括前端设备、传输设备、处理/控制设备和记录与显示设备四部分。</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4.1.2</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摄像机安装应减少或避免图像出现逆光，且摄像机工作时监视范围内的平均照度宜不小于200Lx。</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4.1.3</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出入口摄像机安装应符合以下要求：</w:t>
      </w:r>
      <w:r w:rsidRPr="005F05AE">
        <w:rPr>
          <w:rFonts w:ascii="微软雅黑" w:eastAsia="微软雅黑" w:hAnsi="微软雅黑" w:cs="宋体" w:hint="eastAsia"/>
          <w:color w:val="4A4A4A"/>
          <w:kern w:val="0"/>
          <w:sz w:val="18"/>
          <w:szCs w:val="18"/>
        </w:rPr>
        <w:br/>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 xml:space="preserve"> a）</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固定焦距、方向；</w:t>
      </w:r>
      <w:r w:rsidRPr="005F05AE">
        <w:rPr>
          <w:rFonts w:ascii="微软雅黑" w:eastAsia="微软雅黑" w:hAnsi="微软雅黑" w:cs="宋体" w:hint="eastAsia"/>
          <w:color w:val="4A4A4A"/>
          <w:kern w:val="0"/>
          <w:sz w:val="18"/>
          <w:szCs w:val="18"/>
        </w:rPr>
        <w:br/>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 xml:space="preserve"> b）</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监视区域内不应有盲区；</w:t>
      </w:r>
      <w:r w:rsidRPr="005F05AE">
        <w:rPr>
          <w:rFonts w:ascii="微软雅黑" w:eastAsia="微软雅黑" w:hAnsi="微软雅黑" w:cs="宋体" w:hint="eastAsia"/>
          <w:color w:val="4A4A4A"/>
          <w:kern w:val="0"/>
          <w:sz w:val="18"/>
          <w:szCs w:val="18"/>
        </w:rPr>
        <w:br/>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 xml:space="preserve"> c）</w:t>
      </w:r>
      <w:r w:rsidRPr="005F05AE">
        <w:rPr>
          <w:rFonts w:ascii="宋体" w:eastAsia="宋体" w:hAnsi="宋体" w:cs="宋体" w:hint="eastAsia"/>
          <w:color w:val="4A4A4A"/>
          <w:kern w:val="0"/>
          <w:sz w:val="18"/>
          <w:szCs w:val="18"/>
        </w:rPr>
        <w:t>在24h内通过监视屏均应能清楚地辨别出入人员面部特征、机动车牌号；</w:t>
      </w:r>
      <w:r w:rsidRPr="005F05AE">
        <w:rPr>
          <w:rFonts w:ascii="微软雅黑" w:eastAsia="微软雅黑" w:hAnsi="微软雅黑" w:cs="宋体" w:hint="eastAsia"/>
          <w:color w:val="4A4A4A"/>
          <w:kern w:val="0"/>
          <w:sz w:val="18"/>
          <w:szCs w:val="18"/>
        </w:rPr>
        <w:br/>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 xml:space="preserve"> d）</w:t>
      </w:r>
      <w:r w:rsidRPr="005F05AE">
        <w:rPr>
          <w:rFonts w:ascii="宋体" w:eastAsia="宋体" w:hAnsi="宋体" w:cs="宋体" w:hint="eastAsia"/>
          <w:color w:val="4A4A4A"/>
          <w:kern w:val="0"/>
          <w:sz w:val="18"/>
          <w:szCs w:val="18"/>
        </w:rPr>
        <w:t> 显示的人员正面面部有效画面宜不小于监视屏显示画面的1/60。</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4.1.4</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收费窗口安装的摄像机，通过监视屏应能辨别监视范围内的人员正面面部特征和交接款的过程。</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4.1.5</w:t>
      </w:r>
      <w:r w:rsidRPr="005F05AE">
        <w:rPr>
          <w:rFonts w:ascii="仿宋_gb2312" w:eastAsia="仿宋_gb2312" w:hAnsi="微软雅黑" w:cs="宋体" w:hint="eastAsia"/>
          <w:color w:val="4A4A4A"/>
          <w:kern w:val="0"/>
          <w:sz w:val="30"/>
          <w:szCs w:val="30"/>
        </w:rPr>
        <w:t> </w:t>
      </w:r>
      <w:r w:rsidRPr="005F05AE">
        <w:rPr>
          <w:rFonts w:ascii="宋体" w:eastAsia="宋体" w:hAnsi="宋体" w:cs="宋体" w:hint="eastAsia"/>
          <w:color w:val="4A4A4A"/>
          <w:kern w:val="0"/>
          <w:sz w:val="18"/>
          <w:szCs w:val="18"/>
        </w:rPr>
        <w:t> 其他区域安装的摄像机，通过监视屏应能看清监视范围内的人员活动情况。</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4.1.6</w:t>
      </w:r>
      <w:r w:rsidRPr="005F05AE">
        <w:rPr>
          <w:rFonts w:ascii="仿宋_gb2312" w:eastAsia="仿宋_gb2312" w:hAnsi="微软雅黑" w:cs="宋体" w:hint="eastAsia"/>
          <w:color w:val="4A4A4A"/>
          <w:kern w:val="0"/>
          <w:sz w:val="30"/>
          <w:szCs w:val="30"/>
        </w:rPr>
        <w:t> </w:t>
      </w:r>
      <w:r w:rsidRPr="005F05AE">
        <w:rPr>
          <w:rFonts w:ascii="宋体" w:eastAsia="宋体" w:hAnsi="宋体" w:cs="宋体" w:hint="eastAsia"/>
          <w:color w:val="4A4A4A"/>
          <w:kern w:val="0"/>
          <w:sz w:val="18"/>
          <w:szCs w:val="18"/>
        </w:rPr>
        <w:t> 在面积较大的公共区域宜安装带有云台、变焦镜头的摄像机。</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lastRenderedPageBreak/>
        <w:t>4.1.7</w:t>
      </w:r>
      <w:r w:rsidRPr="005F05AE">
        <w:rPr>
          <w:rFonts w:ascii="仿宋_gb2312" w:eastAsia="仿宋_gb2312" w:hAnsi="微软雅黑" w:cs="宋体" w:hint="eastAsia"/>
          <w:color w:val="4A4A4A"/>
          <w:kern w:val="0"/>
          <w:sz w:val="30"/>
          <w:szCs w:val="30"/>
        </w:rPr>
        <w:t> </w:t>
      </w:r>
      <w:r w:rsidRPr="005F05AE">
        <w:rPr>
          <w:rFonts w:ascii="宋体" w:eastAsia="宋体" w:hAnsi="宋体" w:cs="宋体" w:hint="eastAsia"/>
          <w:color w:val="4A4A4A"/>
          <w:kern w:val="0"/>
          <w:sz w:val="18"/>
          <w:szCs w:val="18"/>
        </w:rPr>
        <w:t> 安装带有云台、变焦镜头的摄像机在云台、变焦停止操作后，摄像机应在2</w:t>
      </w:r>
      <w:r w:rsidRPr="005F05AE">
        <w:rPr>
          <w:rFonts w:ascii="仿宋_gb2312" w:eastAsia="仿宋_gb2312" w:hAnsi="微软雅黑" w:cs="宋体" w:hint="eastAsia"/>
          <w:color w:val="4A4A4A"/>
          <w:kern w:val="0"/>
          <w:sz w:val="18"/>
          <w:szCs w:val="18"/>
        </w:rPr>
        <w:t>±</w:t>
      </w:r>
      <w:r w:rsidRPr="005F05AE">
        <w:rPr>
          <w:rFonts w:ascii="宋体" w:eastAsia="宋体" w:hAnsi="宋体" w:cs="宋体" w:hint="eastAsia"/>
          <w:color w:val="4A4A4A"/>
          <w:kern w:val="0"/>
          <w:sz w:val="18"/>
          <w:szCs w:val="18"/>
        </w:rPr>
        <w:t>0.5 min内自动复位至原始设定状态。</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4.1.8</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系统应具有时间、日期的显示、记录和调整功能，时间误差应在±30s以内。</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4.1.9</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摄像机在标准照度下，视频安防监控系统图像信号的技术指标应不低于GB 50198-1994表4.3.1-1</w:t>
      </w:r>
      <w:r w:rsidRPr="005F05AE">
        <w:rPr>
          <w:rFonts w:ascii="宋体" w:eastAsia="宋体" w:hAnsi="宋体" w:cs="宋体" w:hint="eastAsia"/>
          <w:color w:val="4A4A4A"/>
          <w:spacing w:val="4"/>
          <w:kern w:val="0"/>
          <w:sz w:val="18"/>
          <w:szCs w:val="18"/>
        </w:rPr>
        <w:t>规定</w:t>
      </w:r>
      <w:r w:rsidRPr="005F05AE">
        <w:rPr>
          <w:rFonts w:ascii="宋体" w:eastAsia="宋体" w:hAnsi="宋体" w:cs="宋体" w:hint="eastAsia"/>
          <w:color w:val="4A4A4A"/>
          <w:kern w:val="0"/>
          <w:sz w:val="18"/>
          <w:szCs w:val="18"/>
        </w:rPr>
        <w:t>的</w:t>
      </w:r>
      <w:r w:rsidRPr="005F05AE">
        <w:rPr>
          <w:rFonts w:ascii="宋体" w:eastAsia="宋体" w:hAnsi="宋体" w:cs="宋体" w:hint="eastAsia"/>
          <w:color w:val="4A4A4A"/>
          <w:spacing w:val="4"/>
          <w:kern w:val="0"/>
          <w:sz w:val="18"/>
          <w:szCs w:val="18"/>
        </w:rPr>
        <w:t>评分等级</w:t>
      </w:r>
      <w:r w:rsidRPr="005F05AE">
        <w:rPr>
          <w:rFonts w:ascii="宋体" w:eastAsia="宋体" w:hAnsi="宋体" w:cs="宋体" w:hint="eastAsia"/>
          <w:color w:val="4A4A4A"/>
          <w:kern w:val="0"/>
          <w:sz w:val="18"/>
          <w:szCs w:val="18"/>
        </w:rPr>
        <w:t>4级的要求，回放图像质量不应低于3级的要求。</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宋体" w:eastAsia="宋体" w:hAnsi="宋体" w:cs="宋体" w:hint="eastAsia"/>
          <w:b/>
          <w:bCs/>
          <w:color w:val="4A4A4A"/>
          <w:kern w:val="0"/>
          <w:sz w:val="18"/>
          <w:szCs w:val="18"/>
        </w:rPr>
        <w:t>4.1.10  </w:t>
      </w:r>
      <w:r w:rsidRPr="005F05AE">
        <w:rPr>
          <w:rFonts w:ascii="宋体" w:eastAsia="宋体" w:hAnsi="宋体" w:cs="宋体" w:hint="eastAsia"/>
          <w:color w:val="4A4A4A"/>
          <w:kern w:val="0"/>
          <w:sz w:val="18"/>
          <w:szCs w:val="18"/>
        </w:rPr>
        <w:t> 声音复核装置应与同区域视频图像信号同步记录，回放时声音应清晰可辨。</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4.1.11</w:t>
      </w:r>
      <w:r w:rsidRPr="005F05AE">
        <w:rPr>
          <w:rFonts w:ascii="宋体" w:eastAsia="宋体" w:hAnsi="宋体" w:cs="宋体" w:hint="eastAsia"/>
          <w:color w:val="4A4A4A"/>
          <w:kern w:val="0"/>
          <w:sz w:val="18"/>
          <w:szCs w:val="18"/>
        </w:rPr>
        <w:t>  系统应能切换图像,并具有时间、日期的字符叠加、记录功能，时间误差应在±30s以内。字符叠加不应影响图像记录效果。</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4.1.12</w:t>
      </w:r>
      <w:r w:rsidRPr="005F05AE">
        <w:rPr>
          <w:rFonts w:ascii="宋体" w:eastAsia="宋体" w:hAnsi="宋体" w:cs="宋体" w:hint="eastAsia"/>
          <w:color w:val="4A4A4A"/>
          <w:kern w:val="0"/>
          <w:sz w:val="18"/>
          <w:szCs w:val="18"/>
        </w:rPr>
        <w:t>  系统应采用硬盘录像机进行2</w:t>
      </w:r>
      <w:r w:rsidRPr="005F05AE">
        <w:rPr>
          <w:rFonts w:ascii="宋体" w:eastAsia="宋体" w:hAnsi="宋体" w:cs="宋体" w:hint="eastAsia"/>
          <w:color w:val="4A4A4A"/>
          <w:spacing w:val="40"/>
          <w:kern w:val="0"/>
          <w:sz w:val="18"/>
          <w:szCs w:val="18"/>
        </w:rPr>
        <w:t>4</w:t>
      </w:r>
      <w:r w:rsidRPr="005F05AE">
        <w:rPr>
          <w:rFonts w:ascii="宋体" w:eastAsia="宋体" w:hAnsi="宋体" w:cs="宋体" w:hint="eastAsia"/>
          <w:color w:val="4A4A4A"/>
          <w:kern w:val="0"/>
          <w:sz w:val="18"/>
          <w:szCs w:val="18"/>
        </w:rPr>
        <w:t>h图像记录,系统图像记录保存时间应不少于15d。</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4.1.13</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硬盘录像机应符合GB 20815中Ⅱ类机（专业型数字录像设备）或Ⅲ类机（综合型数字录像设备）A级产品的要求。并应具有DVD视（音）频信号数据输出接口，输出的视(音)频复制信号均能使用通用影音播放软件播放,或可直接在通用设备上回放。</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4.1.14</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视频安防监控系统的其他要求应符合GB 50395规定。</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入侵报警系统</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4.2.1</w:t>
      </w:r>
      <w:r w:rsidRPr="005F05AE">
        <w:rPr>
          <w:rFonts w:ascii="宋体" w:eastAsia="宋体" w:hAnsi="宋体" w:cs="宋体" w:hint="eastAsia"/>
          <w:color w:val="4A4A4A"/>
          <w:kern w:val="0"/>
          <w:sz w:val="18"/>
          <w:szCs w:val="18"/>
        </w:rPr>
        <w:t>  系统应包括前端设备、传输设备、处理/控制/管理设备和显示/记录设备四部分。</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4.2.2</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 应根据防护覆盖范围的需要选择适宜的入侵探测器类型和规格，安装应符合产品技术说明书的规定。防区划分应有利于报警时准确定位，且不应有盲区，并根据管理要求设防。</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4.2.3</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紧急报警装置应安装在隐蔽、便于操作的部位，并应设置为不可撤防模式，且应有防误触发措施。当被触发报警后应能立即发出紧急报警信号并自锁，复位应采用人工操作方式。</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4.2.4</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安防中心控制室应配置专职值守人员，入侵报警信号应传送至安防中心控制室，声光报警保持至人工操作复位。安防中心控制室应安装与区域报警中心联网的紧急报警装置。系统使用专用电缆传输报警信号时报警响应时间应不大于2s；使用公共电话网络传输时报警响应时间应不大于20s。</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4.2.5</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以电话网络作为报警传输专线时，不应在线路上挂接其他通信设施。</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4.2.6</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系统应具有时间、日期的显示、记录和调整功能，时间误差应在±30s以内。</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4.2.7</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 系统布防、撤防、报警、故障等信息的存储时间应不少于30d，并能输出打印。</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4.2.8</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系统的备用电源应满足8h正常工作。</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4.2.9</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 入侵探测器的技术要求应符合相关标准的规定。</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4.2.10</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防盗报警控制器其他技术要求应符合GB 12663的规定。</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4.2.11</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入侵报警系统的其他要求应符合GB 50394的规定。</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4.3</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出入口控制系统</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4.3.1</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对非法进入的行为或连续3次不正确的识读，系统应发出声光报警信号。在安防中心控制室，声光报警保持至人工操作复位。</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4.3.2</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不应使用密码按键式识读设备。</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4.3.3</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系统时间与标准时间的误差应在±1</w:t>
      </w:r>
      <w:r w:rsidRPr="005F05AE">
        <w:rPr>
          <w:rFonts w:ascii="宋体" w:eastAsia="宋体" w:hAnsi="宋体" w:cs="宋体" w:hint="eastAsia"/>
          <w:color w:val="4A4A4A"/>
          <w:spacing w:val="40"/>
          <w:kern w:val="0"/>
          <w:sz w:val="18"/>
          <w:szCs w:val="18"/>
        </w:rPr>
        <w:t>0</w:t>
      </w:r>
      <w:r w:rsidRPr="005F05AE">
        <w:rPr>
          <w:rFonts w:ascii="宋体" w:eastAsia="宋体" w:hAnsi="宋体" w:cs="宋体" w:hint="eastAsia"/>
          <w:color w:val="4A4A4A"/>
          <w:kern w:val="0"/>
          <w:sz w:val="18"/>
          <w:szCs w:val="18"/>
        </w:rPr>
        <w:t>s内。记录保存时间应不少于</w:t>
      </w:r>
      <w:r w:rsidRPr="005F05AE">
        <w:rPr>
          <w:rFonts w:ascii="宋体" w:eastAsia="宋体" w:hAnsi="宋体" w:cs="宋体" w:hint="eastAsia"/>
          <w:color w:val="4A4A4A"/>
          <w:spacing w:val="40"/>
          <w:kern w:val="0"/>
          <w:sz w:val="18"/>
          <w:szCs w:val="18"/>
        </w:rPr>
        <w:t>7</w:t>
      </w:r>
      <w:r w:rsidRPr="005F05AE">
        <w:rPr>
          <w:rFonts w:ascii="宋体" w:eastAsia="宋体" w:hAnsi="宋体" w:cs="宋体" w:hint="eastAsia"/>
          <w:color w:val="4A4A4A"/>
          <w:kern w:val="0"/>
          <w:sz w:val="18"/>
          <w:szCs w:val="18"/>
        </w:rPr>
        <w:t>d。</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4.3.4</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车辆出入控制系统应符合GB 50348的规定。</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lastRenderedPageBreak/>
        <w:t>4.3.5</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系统其他要求应符合GB 50396的规定。</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4.4</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通讯显示系统</w:t>
      </w:r>
    </w:p>
    <w:p w:rsidR="005F05AE" w:rsidRPr="005F05AE" w:rsidRDefault="005F05AE" w:rsidP="005F05AE">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5F05AE">
        <w:rPr>
          <w:rFonts w:ascii="宋体" w:eastAsia="宋体" w:hAnsi="宋体" w:cs="宋体" w:hint="eastAsia"/>
          <w:color w:val="4A4A4A"/>
          <w:kern w:val="0"/>
          <w:sz w:val="18"/>
          <w:szCs w:val="18"/>
        </w:rPr>
        <w:t>来电号码显示应清晰, 与标准时间的误差应在±3</w:t>
      </w:r>
      <w:r w:rsidRPr="005F05AE">
        <w:rPr>
          <w:rFonts w:ascii="宋体" w:eastAsia="宋体" w:hAnsi="宋体" w:cs="宋体" w:hint="eastAsia"/>
          <w:color w:val="4A4A4A"/>
          <w:spacing w:val="40"/>
          <w:kern w:val="0"/>
          <w:sz w:val="18"/>
          <w:szCs w:val="18"/>
        </w:rPr>
        <w:t>0</w:t>
      </w:r>
      <w:r w:rsidRPr="005F05AE">
        <w:rPr>
          <w:rFonts w:ascii="宋体" w:eastAsia="宋体" w:hAnsi="宋体" w:cs="宋体" w:hint="eastAsia"/>
          <w:color w:val="4A4A4A"/>
          <w:kern w:val="0"/>
          <w:sz w:val="18"/>
          <w:szCs w:val="18"/>
        </w:rPr>
        <w:t>s以内。</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4.5</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电子巡查系统</w:t>
      </w:r>
    </w:p>
    <w:p w:rsidR="005F05AE" w:rsidRPr="005F05AE" w:rsidRDefault="005F05AE" w:rsidP="005F05AE">
      <w:pPr>
        <w:widowControl/>
        <w:shd w:val="clear" w:color="auto" w:fill="FFFFFF"/>
        <w:spacing w:line="400" w:lineRule="atLeast"/>
        <w:ind w:right="-23"/>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4.5.1</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巡查点安装应牢固、隐蔽，高度应便于识读。</w:t>
      </w:r>
    </w:p>
    <w:p w:rsidR="005F05AE" w:rsidRPr="005F05AE" w:rsidRDefault="005F05AE" w:rsidP="005F05AE">
      <w:pPr>
        <w:widowControl/>
        <w:shd w:val="clear" w:color="auto" w:fill="FFFFFF"/>
        <w:spacing w:line="400" w:lineRule="atLeast"/>
        <w:ind w:right="-23"/>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4.5.2</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保存时间应不少于1</w:t>
      </w:r>
      <w:r w:rsidRPr="005F05AE">
        <w:rPr>
          <w:rFonts w:ascii="宋体" w:eastAsia="宋体" w:hAnsi="宋体" w:cs="宋体" w:hint="eastAsia"/>
          <w:color w:val="4A4A4A"/>
          <w:spacing w:val="40"/>
          <w:kern w:val="0"/>
          <w:sz w:val="18"/>
          <w:szCs w:val="18"/>
        </w:rPr>
        <w:t>0</w:t>
      </w:r>
      <w:r w:rsidRPr="005F05AE">
        <w:rPr>
          <w:rFonts w:ascii="宋体" w:eastAsia="宋体" w:hAnsi="宋体" w:cs="宋体" w:hint="eastAsia"/>
          <w:color w:val="4A4A4A"/>
          <w:kern w:val="0"/>
          <w:sz w:val="18"/>
          <w:szCs w:val="18"/>
        </w:rPr>
        <w:t>d。</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Cs w:val="21"/>
        </w:rPr>
        <w:t>4.5.3</w:t>
      </w:r>
      <w:r w:rsidRPr="005F05AE">
        <w:rPr>
          <w:rFonts w:ascii="宋体" w:eastAsia="宋体" w:hAnsi="宋体" w:cs="宋体" w:hint="eastAsia"/>
          <w:b/>
          <w:bCs/>
          <w:color w:val="4A4A4A"/>
          <w:kern w:val="0"/>
          <w:szCs w:val="21"/>
        </w:rPr>
        <w:t>  </w:t>
      </w:r>
      <w:r w:rsidRPr="005F05AE">
        <w:rPr>
          <w:rFonts w:ascii="宋体" w:eastAsia="宋体" w:hAnsi="宋体" w:cs="宋体" w:hint="eastAsia"/>
          <w:color w:val="4A4A4A"/>
          <w:kern w:val="0"/>
          <w:szCs w:val="21"/>
        </w:rPr>
        <w:t>系统其他要求应符合GA/T 644的规定。</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Cs w:val="21"/>
        </w:rPr>
        <w:t>4.7</w:t>
      </w:r>
      <w:r w:rsidRPr="005F05AE">
        <w:rPr>
          <w:rFonts w:ascii="宋体" w:eastAsia="宋体" w:hAnsi="宋体" w:cs="宋体" w:hint="eastAsia"/>
          <w:b/>
          <w:bCs/>
          <w:color w:val="4A4A4A"/>
          <w:kern w:val="0"/>
          <w:szCs w:val="21"/>
        </w:rPr>
        <w:t>  </w:t>
      </w:r>
      <w:r w:rsidRPr="005F05AE">
        <w:rPr>
          <w:rFonts w:ascii="黑体" w:eastAsia="黑体" w:hAnsi="黑体" w:cs="宋体" w:hint="eastAsia"/>
          <w:b/>
          <w:bCs/>
          <w:color w:val="4A4A4A"/>
          <w:kern w:val="0"/>
          <w:szCs w:val="21"/>
        </w:rPr>
        <w:t>安防中心控制室</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5.7.1</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视频安防监控、入侵报警、电子巡查的终端设备，以及出入口控制系统的报警信号输出终端均应设置在安防监控中心，应能实现对各子系统的操作、记录和显示。</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5.7.2</w:t>
      </w:r>
      <w:r w:rsidRPr="005F05AE">
        <w:rPr>
          <w:rFonts w:ascii="宋体" w:eastAsia="宋体" w:hAnsi="宋体" w:cs="宋体" w:hint="eastAsia"/>
          <w:color w:val="4A4A4A"/>
          <w:kern w:val="0"/>
          <w:sz w:val="18"/>
          <w:szCs w:val="18"/>
        </w:rPr>
        <w:t>  应安装紧急报警装置，并应与区域报警中心联网。</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5.7.3</w:t>
      </w:r>
      <w:r w:rsidRPr="005F05AE">
        <w:rPr>
          <w:rFonts w:ascii="宋体" w:eastAsia="宋体" w:hAnsi="宋体" w:cs="宋体" w:hint="eastAsia"/>
          <w:color w:val="4A4A4A"/>
          <w:kern w:val="0"/>
          <w:sz w:val="18"/>
          <w:szCs w:val="18"/>
        </w:rPr>
        <w:t>  安防中心控制室应配置能与报警同步的终端图形显示装置，能准确地识别报警区域，实时显示发生警情的区域、日期、时间及报警类型等信息。</w:t>
      </w:r>
    </w:p>
    <w:p w:rsidR="005F05AE" w:rsidRPr="005F05AE" w:rsidRDefault="005F05AE" w:rsidP="005F05AE">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5.7.4</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安防中心控制室应配备有线、无线专用通讯工具和强光手电筒等专用防护器械</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5.7.5</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安防中心控制室的其他要求应符合GB 50348、GB 50394、GB 50395和GB 50396的规定。</w:t>
      </w:r>
      <w:r w:rsidRPr="005F05AE">
        <w:rPr>
          <w:rFonts w:ascii="微软雅黑" w:eastAsia="微软雅黑" w:hAnsi="微软雅黑" w:cs="宋体" w:hint="eastAsia"/>
          <w:color w:val="4A4A4A"/>
          <w:kern w:val="0"/>
          <w:sz w:val="18"/>
          <w:szCs w:val="18"/>
        </w:rPr>
        <w:br/>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 xml:space="preserve"> 4.8</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实体防护装置</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4.8.1</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钢栅栏应采用单根直径不小于φ20mm、壁厚不小于2mm的钢管（或单根直径不小于φ16mm的钢棒、单根横截面应不小于8mm</w:t>
      </w:r>
      <w:r w:rsidRPr="005F05AE">
        <w:rPr>
          <w:rFonts w:ascii="黑体" w:eastAsia="黑体" w:hAnsi="黑体" w:cs="宋体" w:hint="eastAsia"/>
          <w:color w:val="4A4A4A"/>
          <w:kern w:val="0"/>
          <w:sz w:val="18"/>
          <w:szCs w:val="18"/>
        </w:rPr>
        <w:t>X</w:t>
      </w:r>
      <w:r w:rsidRPr="005F05AE">
        <w:rPr>
          <w:rFonts w:ascii="宋体" w:eastAsia="宋体" w:hAnsi="宋体" w:cs="宋体" w:hint="eastAsia"/>
          <w:color w:val="4A4A4A"/>
          <w:kern w:val="0"/>
          <w:sz w:val="18"/>
          <w:szCs w:val="18"/>
        </w:rPr>
        <w:t>20mm的钢板）组合制做。用于窗的防护时，单个栅栏空间最大面积应不大于600mm</w:t>
      </w:r>
      <w:r w:rsidRPr="005F05AE">
        <w:rPr>
          <w:rFonts w:ascii="黑体" w:eastAsia="黑体" w:hAnsi="黑体" w:cs="宋体" w:hint="eastAsia"/>
          <w:color w:val="4A4A4A"/>
          <w:kern w:val="0"/>
          <w:sz w:val="18"/>
          <w:szCs w:val="18"/>
        </w:rPr>
        <w:t>X</w:t>
      </w:r>
      <w:r w:rsidRPr="005F05AE">
        <w:rPr>
          <w:rFonts w:ascii="宋体" w:eastAsia="宋体" w:hAnsi="宋体" w:cs="宋体" w:hint="eastAsia"/>
          <w:color w:val="4A4A4A"/>
          <w:kern w:val="0"/>
          <w:sz w:val="18"/>
          <w:szCs w:val="18"/>
        </w:rPr>
        <w:t>100mm。</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4.8.2</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防盗栅栏应采用不小于12mm的膨胀螺丝固定，安装应牢固可靠,并有防拆措施。</w:t>
      </w:r>
    </w:p>
    <w:p w:rsidR="005F05AE" w:rsidRPr="005F05AE" w:rsidRDefault="005F05AE" w:rsidP="005F05AE">
      <w:pPr>
        <w:widowControl/>
        <w:shd w:val="clear" w:color="auto" w:fill="FFFFFF"/>
        <w:spacing w:line="38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4.8.3</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防盗防火安全门及安装应符合DB31/321的规定。</w:t>
      </w:r>
    </w:p>
    <w:p w:rsidR="005F05AE" w:rsidRPr="005F05AE" w:rsidRDefault="005F05AE" w:rsidP="005F05AE">
      <w:pPr>
        <w:widowControl/>
        <w:shd w:val="clear" w:color="auto" w:fill="FFFFFF"/>
        <w:spacing w:before="156" w:after="156" w:line="38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5</w:t>
      </w:r>
      <w:r w:rsidRPr="005F05AE">
        <w:rPr>
          <w:rFonts w:ascii="宋体" w:eastAsia="宋体" w:hAnsi="宋体" w:cs="宋体" w:hint="eastAsia"/>
          <w:b/>
          <w:bCs/>
          <w:color w:val="4A4A4A"/>
          <w:kern w:val="0"/>
          <w:sz w:val="18"/>
          <w:szCs w:val="18"/>
        </w:rPr>
        <w:t>  </w:t>
      </w:r>
      <w:r w:rsidRPr="005F05AE">
        <w:rPr>
          <w:rFonts w:ascii="黑体" w:eastAsia="黑体" w:hAnsi="黑体" w:cs="宋体" w:hint="eastAsia"/>
          <w:b/>
          <w:bCs/>
          <w:color w:val="4A4A4A"/>
          <w:kern w:val="0"/>
          <w:sz w:val="18"/>
          <w:szCs w:val="18"/>
        </w:rPr>
        <w:t>检验、验收、维护</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5.1</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安全技术防范系统竣工后应进行检验。系统检验应按GB 50348-2004第7章的规定。</w:t>
      </w:r>
    </w:p>
    <w:p w:rsidR="005F05AE" w:rsidRPr="005F05AE" w:rsidRDefault="005F05AE" w:rsidP="005F05AE">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5.2</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 安全技术防范系统验收按照本标准第4章和GB 50348、GA 308的规定。</w:t>
      </w:r>
    </w:p>
    <w:p w:rsidR="005F05AE" w:rsidRPr="005F05AE" w:rsidRDefault="005F05AE" w:rsidP="005F05AE">
      <w:pPr>
        <w:widowControl/>
        <w:shd w:val="clear" w:color="auto" w:fill="FFFFFF"/>
        <w:spacing w:before="50" w:after="50" w:line="400" w:lineRule="atLeast"/>
        <w:jc w:val="left"/>
        <w:rPr>
          <w:rFonts w:ascii="微软雅黑" w:eastAsia="微软雅黑" w:hAnsi="微软雅黑" w:cs="宋体" w:hint="eastAsia"/>
          <w:color w:val="4A4A4A"/>
          <w:kern w:val="0"/>
          <w:sz w:val="18"/>
          <w:szCs w:val="18"/>
        </w:rPr>
      </w:pPr>
      <w:r w:rsidRPr="005F05AE">
        <w:rPr>
          <w:rFonts w:ascii="黑体" w:eastAsia="黑体" w:hAnsi="黑体" w:cs="宋体" w:hint="eastAsia"/>
          <w:b/>
          <w:bCs/>
          <w:color w:val="4A4A4A"/>
          <w:kern w:val="0"/>
          <w:sz w:val="18"/>
          <w:szCs w:val="18"/>
        </w:rPr>
        <w:t>5.3</w:t>
      </w:r>
      <w:r w:rsidRPr="005F05AE">
        <w:rPr>
          <w:rFonts w:ascii="宋体" w:eastAsia="宋体" w:hAnsi="宋体" w:cs="宋体" w:hint="eastAsia"/>
          <w:b/>
          <w:bCs/>
          <w:color w:val="4A4A4A"/>
          <w:kern w:val="0"/>
          <w:sz w:val="18"/>
          <w:szCs w:val="18"/>
        </w:rPr>
        <w:t> </w:t>
      </w:r>
      <w:r w:rsidRPr="005F05AE">
        <w:rPr>
          <w:rFonts w:ascii="宋体" w:eastAsia="宋体" w:hAnsi="宋体" w:cs="宋体" w:hint="eastAsia"/>
          <w:color w:val="4A4A4A"/>
          <w:kern w:val="0"/>
          <w:sz w:val="18"/>
          <w:szCs w:val="18"/>
        </w:rPr>
        <w:t> 安全技术防范系统应保持良好的运行状态，每年定期进行设备的检测、维护、保养。系统出现故障后，应及时修复。</w:t>
      </w:r>
    </w:p>
    <w:p w:rsidR="005F05AE" w:rsidRPr="005F05AE" w:rsidRDefault="005F05AE" w:rsidP="005F05AE">
      <w:pPr>
        <w:jc w:val="center"/>
        <w:rPr>
          <w:rFonts w:hint="eastAsia"/>
        </w:rPr>
      </w:pPr>
      <w:bookmarkStart w:id="0" w:name="_GoBack"/>
      <w:bookmarkEnd w:id="0"/>
    </w:p>
    <w:sectPr w:rsidR="005F05AE" w:rsidRPr="005F0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AE"/>
    <w:rsid w:val="005F05AE"/>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05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0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2016-03-22T02:08:00Z</dcterms:created>
  <dcterms:modified xsi:type="dcterms:W3CDTF">2016-03-22T02:09:00Z</dcterms:modified>
</cp:coreProperties>
</file>