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1242DF" w:rsidP="001242DF">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重点单位重要部位安防系统要求 电力系统</w:t>
      </w:r>
    </w:p>
    <w:p w:rsidR="001242DF" w:rsidRPr="001242DF" w:rsidRDefault="001242DF" w:rsidP="001242DF">
      <w:pPr>
        <w:widowControl/>
        <w:shd w:val="clear" w:color="auto" w:fill="FFFFFF"/>
        <w:spacing w:line="520" w:lineRule="atLeast"/>
        <w:jc w:val="left"/>
        <w:rPr>
          <w:rFonts w:ascii="微软雅黑" w:eastAsia="微软雅黑" w:hAnsi="微软雅黑" w:cs="宋体"/>
          <w:color w:val="4A4A4A"/>
          <w:kern w:val="0"/>
          <w:sz w:val="18"/>
          <w:szCs w:val="18"/>
        </w:rPr>
      </w:pPr>
      <w:r w:rsidRPr="001242DF">
        <w:rPr>
          <w:rFonts w:ascii="黑体" w:eastAsia="黑体" w:hAnsi="黑体" w:cs="宋体" w:hint="eastAsia"/>
          <w:b/>
          <w:bCs/>
          <w:color w:val="4A4A4A"/>
          <w:kern w:val="0"/>
          <w:szCs w:val="21"/>
        </w:rPr>
        <w:t>1</w:t>
      </w:r>
      <w:r w:rsidRPr="001242DF">
        <w:rPr>
          <w:rFonts w:ascii="宋体" w:eastAsia="宋体" w:hAnsi="宋体" w:cs="宋体" w:hint="eastAsia"/>
          <w:b/>
          <w:bCs/>
          <w:color w:val="4A4A4A"/>
          <w:kern w:val="0"/>
          <w:szCs w:val="21"/>
        </w:rPr>
        <w:t>  </w:t>
      </w:r>
      <w:r w:rsidRPr="001242DF">
        <w:rPr>
          <w:rFonts w:ascii="黑体" w:eastAsia="黑体" w:hAnsi="黑体" w:cs="宋体" w:hint="eastAsia"/>
          <w:b/>
          <w:bCs/>
          <w:color w:val="4A4A4A"/>
          <w:kern w:val="0"/>
          <w:szCs w:val="21"/>
        </w:rPr>
        <w:t>范围</w:t>
      </w:r>
    </w:p>
    <w:p w:rsidR="001242DF" w:rsidRPr="001242DF" w:rsidRDefault="001242DF" w:rsidP="001242DF">
      <w:pPr>
        <w:widowControl/>
        <w:shd w:val="clear" w:color="auto" w:fill="FFFFFF"/>
        <w:spacing w:line="520" w:lineRule="atLeast"/>
        <w:ind w:firstLine="405"/>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本标准规定了电力系统安全技术防范系统的设计、施工、检验、验收、维护的要求。</w:t>
      </w:r>
    </w:p>
    <w:p w:rsidR="001242DF" w:rsidRPr="001242DF" w:rsidRDefault="001242DF" w:rsidP="001242DF">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本标准适用于本市电力系统中10MW以上的发电厂、电力调度部门、变电站（所）、重要用户配电站、重要办公场所、重要物资仓库、供电营业站、过江（海）电缆隧道等单位和部位的安全技术防范系统。</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 </w:t>
      </w:r>
    </w:p>
    <w:p w:rsidR="001242DF" w:rsidRPr="001242DF" w:rsidRDefault="001242DF" w:rsidP="001242DF">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1242DF" w:rsidRPr="001242DF" w:rsidRDefault="001242DF" w:rsidP="001242DF">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GB 2894  安全标志</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GB 10408.1  入侵探测器 第1部分：通用要求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GB 10408.3  入侵探测器 第3部分：室内用微波多普勒探测器</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GB 10408.4  入侵探测器 第4部分：主动红外入侵探测器</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GB 10408.5  入侵探测器 第5部分：室内用被动红外入侵探测器</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GB 10408.6  微波和被动红外复合入侵探测器</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GB 12663  防盗报警控制器通用技术条件</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GB 15209  磁开关入侵探测器</w:t>
      </w:r>
    </w:p>
    <w:p w:rsidR="001242DF" w:rsidRPr="001242DF" w:rsidRDefault="001242DF" w:rsidP="001242DF">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GB 17565  防盗安全门通用技术条件</w:t>
      </w:r>
    </w:p>
    <w:p w:rsidR="001242DF" w:rsidRPr="001242DF" w:rsidRDefault="001242DF" w:rsidP="001242DF">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GB 17840  防弹玻璃</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GB 50198  </w:t>
      </w:r>
      <w:r w:rsidRPr="001242DF">
        <w:rPr>
          <w:rFonts w:ascii="宋体" w:eastAsia="宋体" w:hAnsi="宋体" w:cs="宋体" w:hint="eastAsia"/>
          <w:color w:val="4A4A4A"/>
          <w:spacing w:val="-12"/>
          <w:kern w:val="0"/>
          <w:szCs w:val="21"/>
        </w:rPr>
        <w:t>民用闭路监视电视系统工程技术规范</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GB 50348  安全防范</w:t>
      </w:r>
      <w:r w:rsidRPr="001242DF">
        <w:rPr>
          <w:rFonts w:ascii="宋体" w:eastAsia="宋体" w:hAnsi="宋体" w:cs="宋体" w:hint="eastAsia"/>
          <w:color w:val="4A4A4A"/>
          <w:spacing w:val="-12"/>
          <w:kern w:val="0"/>
          <w:szCs w:val="21"/>
        </w:rPr>
        <w:t>工程技术规范</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GA/T 72  楼寓对讲电控防盗门通用技术条件</w:t>
      </w:r>
    </w:p>
    <w:p w:rsidR="001242DF" w:rsidRPr="001242DF" w:rsidRDefault="001242DF" w:rsidP="001242DF">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GA/T 75  安全防范</w:t>
      </w:r>
      <w:r w:rsidRPr="001242DF">
        <w:rPr>
          <w:rFonts w:ascii="宋体" w:eastAsia="宋体" w:hAnsi="宋体" w:cs="宋体" w:hint="eastAsia"/>
          <w:color w:val="4A4A4A"/>
          <w:spacing w:val="-12"/>
          <w:kern w:val="0"/>
          <w:szCs w:val="21"/>
        </w:rPr>
        <w:t>工程</w:t>
      </w:r>
      <w:r w:rsidRPr="001242DF">
        <w:rPr>
          <w:rFonts w:ascii="宋体" w:eastAsia="宋体" w:hAnsi="宋体" w:cs="宋体" w:hint="eastAsia"/>
          <w:color w:val="4A4A4A"/>
          <w:kern w:val="0"/>
          <w:szCs w:val="21"/>
        </w:rPr>
        <w:t>程序与要求</w:t>
      </w:r>
    </w:p>
    <w:p w:rsidR="001242DF" w:rsidRPr="001242DF" w:rsidRDefault="001242DF" w:rsidP="001242DF">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GA 165  防弹复合玻璃</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lastRenderedPageBreak/>
        <w:t>GA/T 269  黑白可视对讲系统</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GA 308  安全技术防范系统验收规则</w:t>
      </w:r>
    </w:p>
    <w:p w:rsidR="001242DF" w:rsidRPr="001242DF" w:rsidRDefault="001242DF" w:rsidP="001242DF">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GA/T 367  视频安防监控系统技术要求</w:t>
      </w:r>
    </w:p>
    <w:p w:rsidR="001242DF" w:rsidRPr="001242DF" w:rsidRDefault="001242DF" w:rsidP="001242DF">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GA/T 368  入侵报警系统技术要求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GA/T 394  出入口控制系统技术要求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DB 31/295  安全技术防范监控用硬盘录像机通用技术要求</w:t>
      </w:r>
    </w:p>
    <w:p w:rsidR="001242DF" w:rsidRPr="001242DF" w:rsidRDefault="001242DF" w:rsidP="001242DF">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DB 31/329.2  重点单位重要部位安全技术防范系统要求  第2部分：剧毒化学品、放射性同位素集中存放场所</w:t>
      </w:r>
    </w:p>
    <w:p w:rsidR="001242DF" w:rsidRPr="001242DF" w:rsidRDefault="001242DF" w:rsidP="001242DF">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DB 31/329.3  重点单位重要部位安全技术防范系统要求  第3部分：金融营业场所</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DB 31/329.4  重点单位重要部位安全技术防范系统要求  第4部分：公共供水</w:t>
      </w:r>
    </w:p>
    <w:p w:rsidR="001242DF" w:rsidRPr="001242DF" w:rsidRDefault="001242DF" w:rsidP="001242DF">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 w:val="36"/>
          <w:szCs w:val="36"/>
        </w:rPr>
        <w:t> </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3</w:t>
      </w:r>
      <w:r w:rsidRPr="001242DF">
        <w:rPr>
          <w:rFonts w:ascii="宋体" w:eastAsia="宋体" w:hAnsi="宋体" w:cs="宋体" w:hint="eastAsia"/>
          <w:b/>
          <w:bCs/>
          <w:color w:val="4A4A4A"/>
          <w:kern w:val="0"/>
          <w:szCs w:val="21"/>
        </w:rPr>
        <w:t>  </w:t>
      </w:r>
      <w:r w:rsidRPr="001242DF">
        <w:rPr>
          <w:rFonts w:ascii="黑体" w:eastAsia="黑体" w:hAnsi="黑体" w:cs="宋体" w:hint="eastAsia"/>
          <w:b/>
          <w:bCs/>
          <w:color w:val="4A4A4A"/>
          <w:kern w:val="0"/>
          <w:szCs w:val="21"/>
        </w:rPr>
        <w:t>术语和定义</w:t>
      </w:r>
    </w:p>
    <w:p w:rsidR="001242DF" w:rsidRPr="001242DF" w:rsidRDefault="001242DF" w:rsidP="001242DF">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下列术语和定义适用于本标准。</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3.1</w:t>
      </w:r>
    </w:p>
    <w:p w:rsidR="001242DF" w:rsidRPr="001242DF" w:rsidRDefault="001242DF" w:rsidP="001242DF">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发电厂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   将其他能源转换成电能的生产单位。</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3.2</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w:t>
      </w:r>
      <w:r w:rsidRPr="001242DF">
        <w:rPr>
          <w:rFonts w:ascii="黑体" w:eastAsia="黑体" w:hAnsi="黑体" w:cs="宋体" w:hint="eastAsia"/>
          <w:b/>
          <w:bCs/>
          <w:color w:val="4A4A4A"/>
          <w:kern w:val="0"/>
          <w:szCs w:val="21"/>
        </w:rPr>
        <w:t>电力调度部门</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Times New Roman" w:eastAsia="黑体" w:hAnsi="Times New Roman" w:cs="Times New Roman" w:hint="eastAsia"/>
          <w:color w:val="4A4A4A"/>
          <w:kern w:val="0"/>
          <w:szCs w:val="21"/>
        </w:rPr>
        <w:t>      </w:t>
      </w:r>
      <w:r w:rsidRPr="001242DF">
        <w:rPr>
          <w:rFonts w:ascii="宋体" w:eastAsia="宋体" w:hAnsi="宋体" w:cs="宋体" w:hint="eastAsia"/>
          <w:color w:val="4A4A4A"/>
          <w:kern w:val="0"/>
          <w:szCs w:val="21"/>
        </w:rPr>
        <w:t>对所辖范围内的电力系统运行实施监视、指挥和控制的单位。</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3.3</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w:t>
      </w:r>
      <w:r w:rsidRPr="001242DF">
        <w:rPr>
          <w:rFonts w:ascii="黑体" w:eastAsia="黑体" w:hAnsi="黑体" w:cs="宋体" w:hint="eastAsia"/>
          <w:b/>
          <w:bCs/>
          <w:color w:val="4A4A4A"/>
          <w:kern w:val="0"/>
          <w:szCs w:val="21"/>
        </w:rPr>
        <w:t>变电站（所）</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   电力网中的线路连接点，用以变换电压、变换功率和汇集、分配电能的电力设施站点。</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3.4</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    </w:t>
      </w:r>
      <w:r w:rsidRPr="001242DF">
        <w:rPr>
          <w:rFonts w:ascii="黑体" w:eastAsia="黑体" w:hAnsi="黑体" w:cs="宋体" w:hint="eastAsia"/>
          <w:b/>
          <w:bCs/>
          <w:color w:val="4A4A4A"/>
          <w:kern w:val="0"/>
          <w:szCs w:val="21"/>
        </w:rPr>
        <w:t>配电站</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    变电站（所）母线的延伸，兼具将中压配电电压降压至低压配电电压功能的供电点。</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lastRenderedPageBreak/>
        <w:t>3.5</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w:t>
      </w:r>
      <w:r w:rsidRPr="001242DF">
        <w:rPr>
          <w:rFonts w:ascii="黑体" w:eastAsia="黑体" w:hAnsi="黑体" w:cs="宋体" w:hint="eastAsia"/>
          <w:b/>
          <w:bCs/>
          <w:color w:val="4A4A4A"/>
          <w:kern w:val="0"/>
          <w:szCs w:val="21"/>
        </w:rPr>
        <w:t>重要办公场所</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    档案室、机要室、财务室保险箱存放处、计算机房等。</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3.6</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w:t>
      </w:r>
      <w:r w:rsidRPr="001242DF">
        <w:rPr>
          <w:rFonts w:ascii="黑体" w:eastAsia="黑体" w:hAnsi="黑体" w:cs="宋体" w:hint="eastAsia"/>
          <w:b/>
          <w:bCs/>
          <w:color w:val="4A4A4A"/>
          <w:kern w:val="0"/>
          <w:szCs w:val="21"/>
        </w:rPr>
        <w:t>重要物资仓库</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    易燃易爆品、剧毒化学品、放射性同位素、重要配（耗）件、抢险救灾物资等的集中存放场所。</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3.7</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w:t>
      </w:r>
      <w:r w:rsidRPr="001242DF">
        <w:rPr>
          <w:rFonts w:ascii="黑体" w:eastAsia="黑体" w:hAnsi="黑体" w:cs="宋体" w:hint="eastAsia"/>
          <w:b/>
          <w:bCs/>
          <w:color w:val="4A4A4A"/>
          <w:kern w:val="0"/>
          <w:szCs w:val="21"/>
        </w:rPr>
        <w:t>过江（海）电缆隧道</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高压电缆穿越江（海）的专用隧道。</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3.8</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w:t>
      </w:r>
      <w:r w:rsidRPr="001242DF">
        <w:rPr>
          <w:rFonts w:ascii="黑体" w:eastAsia="黑体" w:hAnsi="黑体" w:cs="宋体" w:hint="eastAsia"/>
          <w:b/>
          <w:bCs/>
          <w:color w:val="4A4A4A"/>
          <w:kern w:val="0"/>
          <w:szCs w:val="21"/>
        </w:rPr>
        <w:t>供电营业站</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     供电辖区内受理用电申请、咨询及现金收费等业务的机构。</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w:t>
      </w:r>
      <w:r w:rsidRPr="001242DF">
        <w:rPr>
          <w:rFonts w:ascii="宋体" w:eastAsia="宋体" w:hAnsi="宋体" w:cs="宋体" w:hint="eastAsia"/>
          <w:color w:val="4A4A4A"/>
          <w:kern w:val="0"/>
          <w:szCs w:val="21"/>
        </w:rPr>
        <w:t> </w:t>
      </w:r>
      <w:r w:rsidRPr="001242DF">
        <w:rPr>
          <w:rFonts w:ascii="宋体" w:eastAsia="宋体" w:hAnsi="宋体" w:cs="宋体" w:hint="eastAsia"/>
          <w:b/>
          <w:bCs/>
          <w:color w:val="4A4A4A"/>
          <w:kern w:val="0"/>
          <w:szCs w:val="21"/>
        </w:rPr>
        <w:t> </w:t>
      </w:r>
      <w:r w:rsidRPr="001242DF">
        <w:rPr>
          <w:rFonts w:ascii="黑体" w:eastAsia="黑体" w:hAnsi="黑体" w:cs="宋体" w:hint="eastAsia"/>
          <w:b/>
          <w:bCs/>
          <w:color w:val="4A4A4A"/>
          <w:kern w:val="0"/>
          <w:szCs w:val="21"/>
        </w:rPr>
        <w:t>系统设计和施工要求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4.1</w:t>
      </w:r>
      <w:r w:rsidRPr="001242DF">
        <w:rPr>
          <w:rFonts w:ascii="宋体" w:eastAsia="宋体" w:hAnsi="宋体" w:cs="宋体" w:hint="eastAsia"/>
          <w:b/>
          <w:bCs/>
          <w:color w:val="4A4A4A"/>
          <w:kern w:val="0"/>
          <w:szCs w:val="21"/>
        </w:rPr>
        <w:t>  </w:t>
      </w:r>
      <w:r w:rsidRPr="001242DF">
        <w:rPr>
          <w:rFonts w:ascii="黑体" w:eastAsia="黑体" w:hAnsi="黑体" w:cs="宋体" w:hint="eastAsia"/>
          <w:b/>
          <w:bCs/>
          <w:color w:val="4A4A4A"/>
          <w:kern w:val="0"/>
          <w:szCs w:val="21"/>
        </w:rPr>
        <w:t>总体要求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4.1.1</w:t>
      </w:r>
      <w:r w:rsidRPr="001242DF">
        <w:rPr>
          <w:rFonts w:ascii="宋体" w:eastAsia="宋体" w:hAnsi="宋体" w:cs="宋体" w:hint="eastAsia"/>
          <w:color w:val="4A4A4A"/>
          <w:kern w:val="0"/>
          <w:szCs w:val="21"/>
        </w:rPr>
        <w:t>  电力系统的安全技术防范系统的设计原则应符合GB 50348的规定，并应根据表1的要求设置。</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4.1.2</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电力系统的安全技术防范系统的设计、施工程序应符合GA/T 75的规定。</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4.1.3</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发电厂剧毒化学品、放射性同位素集中存放场所的安全技术防范系统应符合DB 31/329.2的规定。</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4.1.4</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 电力系统的供电营业站现金收费柜台的安全技术防范系统宜按照DB 31/329.3的规定。</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4.1.5</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电力系统的二次供水设施中的泵房、水箱（水池）等部位的安全技术防范系统应符合DB 31/329.4的规定。</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4.1.6</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电力系统的安全技术防范系统建设应纳入工程建设的总体规划，并应综合设计、同步施工、独立验收、同时交付使用。</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lastRenderedPageBreak/>
        <w:t>4.2</w:t>
      </w:r>
      <w:r w:rsidRPr="001242DF">
        <w:rPr>
          <w:rFonts w:ascii="宋体" w:eastAsia="宋体" w:hAnsi="宋体" w:cs="宋体" w:hint="eastAsia"/>
          <w:b/>
          <w:bCs/>
          <w:color w:val="4A4A4A"/>
          <w:kern w:val="0"/>
          <w:szCs w:val="21"/>
        </w:rPr>
        <w:t>  </w:t>
      </w:r>
      <w:r w:rsidRPr="001242DF">
        <w:rPr>
          <w:rFonts w:ascii="黑体" w:eastAsia="黑体" w:hAnsi="黑体" w:cs="宋体" w:hint="eastAsia"/>
          <w:b/>
          <w:bCs/>
          <w:color w:val="4A4A4A"/>
          <w:kern w:val="0"/>
          <w:szCs w:val="21"/>
        </w:rPr>
        <w:t>系统组成和设计施工</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4.2.1</w:t>
      </w:r>
      <w:r w:rsidRPr="001242DF">
        <w:rPr>
          <w:rFonts w:ascii="宋体" w:eastAsia="宋体" w:hAnsi="宋体" w:cs="宋体" w:hint="eastAsia"/>
          <w:b/>
          <w:bCs/>
          <w:color w:val="4A4A4A"/>
          <w:kern w:val="0"/>
          <w:szCs w:val="21"/>
        </w:rPr>
        <w:t>  </w:t>
      </w:r>
      <w:r w:rsidRPr="001242DF">
        <w:rPr>
          <w:rFonts w:ascii="黑体" w:eastAsia="黑体" w:hAnsi="黑体" w:cs="宋体" w:hint="eastAsia"/>
          <w:b/>
          <w:bCs/>
          <w:color w:val="4A4A4A"/>
          <w:kern w:val="0"/>
          <w:szCs w:val="21"/>
        </w:rPr>
        <w:t>视频安防监控系统</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 w:val="36"/>
          <w:szCs w:val="36"/>
        </w:rPr>
        <w:t> </w:t>
      </w:r>
    </w:p>
    <w:p w:rsidR="001242DF" w:rsidRPr="001242DF" w:rsidRDefault="001242DF" w:rsidP="001242DF">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w:t>
      </w:r>
    </w:p>
    <w:p w:rsidR="001242DF" w:rsidRPr="001242DF" w:rsidRDefault="001242DF" w:rsidP="001242DF">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w:t>
      </w:r>
    </w:p>
    <w:p w:rsidR="001242DF" w:rsidRPr="001242DF" w:rsidRDefault="001242DF" w:rsidP="001242DF">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表1</w:t>
      </w:r>
      <w:r w:rsidRPr="001242DF">
        <w:rPr>
          <w:rFonts w:ascii="宋体" w:eastAsia="宋体" w:hAnsi="宋体" w:cs="宋体" w:hint="eastAsia"/>
          <w:b/>
          <w:bCs/>
          <w:color w:val="4A4A4A"/>
          <w:kern w:val="0"/>
          <w:szCs w:val="21"/>
        </w:rPr>
        <w:t>  </w:t>
      </w:r>
      <w:r w:rsidRPr="001242DF">
        <w:rPr>
          <w:rFonts w:ascii="黑体" w:eastAsia="黑体" w:hAnsi="黑体" w:cs="宋体" w:hint="eastAsia"/>
          <w:b/>
          <w:bCs/>
          <w:color w:val="4A4A4A"/>
          <w:kern w:val="0"/>
          <w:szCs w:val="21"/>
        </w:rPr>
        <w:t>电力系统安全技术防范设施基本配置表</w:t>
      </w:r>
    </w:p>
    <w:p w:rsidR="001242DF" w:rsidRPr="001242DF" w:rsidRDefault="001242DF" w:rsidP="001242DF">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w:t>
      </w:r>
    </w:p>
    <w:tbl>
      <w:tblPr>
        <w:tblW w:w="0" w:type="auto"/>
        <w:jc w:val="center"/>
        <w:tblCellMar>
          <w:left w:w="0" w:type="dxa"/>
          <w:right w:w="0" w:type="dxa"/>
        </w:tblCellMar>
        <w:tblLook w:val="04A0" w:firstRow="1" w:lastRow="0" w:firstColumn="1" w:lastColumn="0" w:noHBand="0" w:noVBand="1"/>
      </w:tblPr>
      <w:tblGrid>
        <w:gridCol w:w="574"/>
        <w:gridCol w:w="418"/>
        <w:gridCol w:w="506"/>
        <w:gridCol w:w="1500"/>
        <w:gridCol w:w="4572"/>
        <w:gridCol w:w="952"/>
      </w:tblGrid>
      <w:tr w:rsidR="001242DF" w:rsidRPr="001242DF" w:rsidTr="001242DF">
        <w:trPr>
          <w:cantSplit/>
          <w:trHeight w:val="312"/>
          <w:jc w:val="center"/>
        </w:trPr>
        <w:tc>
          <w:tcPr>
            <w:tcW w:w="5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color w:val="000000"/>
                <w:kern w:val="0"/>
                <w:sz w:val="24"/>
                <w:szCs w:val="24"/>
              </w:rPr>
              <w:br/>
            </w:r>
            <w:r w:rsidRPr="001242DF">
              <w:rPr>
                <w:rFonts w:ascii="宋体" w:eastAsia="宋体" w:hAnsi="宋体" w:cs="宋体" w:hint="eastAsia"/>
                <w:color w:val="000000"/>
                <w:kern w:val="0"/>
                <w:sz w:val="18"/>
                <w:szCs w:val="18"/>
              </w:rPr>
              <w:t>序号</w:t>
            </w:r>
          </w:p>
        </w:tc>
        <w:tc>
          <w:tcPr>
            <w:tcW w:w="2520" w:type="dxa"/>
            <w:gridSpan w:val="3"/>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项目</w:t>
            </w:r>
          </w:p>
        </w:tc>
        <w:tc>
          <w:tcPr>
            <w:tcW w:w="483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安装区域或覆盖范围</w:t>
            </w:r>
          </w:p>
        </w:tc>
        <w:tc>
          <w:tcPr>
            <w:tcW w:w="988"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color w:val="000000"/>
                <w:kern w:val="0"/>
                <w:sz w:val="24"/>
                <w:szCs w:val="24"/>
              </w:rPr>
              <w:br/>
            </w:r>
            <w:r w:rsidRPr="001242DF">
              <w:rPr>
                <w:rFonts w:ascii="宋体" w:eastAsia="宋体" w:hAnsi="宋体" w:cs="宋体" w:hint="eastAsia"/>
                <w:color w:val="000000"/>
                <w:kern w:val="0"/>
                <w:sz w:val="18"/>
                <w:szCs w:val="18"/>
              </w:rPr>
              <w:t>配置要求</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1</w:t>
            </w:r>
          </w:p>
        </w:tc>
        <w:tc>
          <w:tcPr>
            <w:tcW w:w="4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 </w:t>
            </w:r>
          </w:p>
        </w:tc>
        <w:tc>
          <w:tcPr>
            <w:tcW w:w="2100"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color w:val="000000"/>
                <w:kern w:val="0"/>
                <w:sz w:val="24"/>
                <w:szCs w:val="24"/>
              </w:rPr>
              <w:br/>
            </w:r>
            <w:r w:rsidRPr="001242DF">
              <w:rPr>
                <w:rFonts w:ascii="宋体" w:eastAsia="宋体" w:hAnsi="宋体" w:cs="宋体" w:hint="eastAsia"/>
                <w:color w:val="000000"/>
                <w:kern w:val="0"/>
                <w:sz w:val="18"/>
                <w:szCs w:val="18"/>
              </w:rPr>
              <w:t>彩色摄像机</w:t>
            </w: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发电厂厂区的出入口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强制</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2</w:t>
            </w:r>
          </w:p>
        </w:tc>
        <w:tc>
          <w:tcPr>
            <w:tcW w:w="4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视</w:t>
            </w:r>
          </w:p>
        </w:tc>
        <w:tc>
          <w:tcPr>
            <w:tcW w:w="0" w:type="auto"/>
            <w:gridSpan w:val="2"/>
            <w:vMerge/>
            <w:tcBorders>
              <w:top w:val="outset" w:sz="6" w:space="0" w:color="ECE9D8"/>
              <w:left w:val="outset" w:sz="6" w:space="0" w:color="ECE9D8"/>
              <w:bottom w:val="outset" w:sz="6" w:space="0" w:color="ECE9D8"/>
              <w:right w:val="single" w:sz="8" w:space="0" w:color="auto"/>
            </w:tcBorders>
            <w:vAlign w:val="center"/>
            <w:hideMark/>
          </w:tcPr>
          <w:p w:rsidR="001242DF" w:rsidRPr="001242DF" w:rsidRDefault="001242DF" w:rsidP="001242DF">
            <w:pPr>
              <w:widowControl/>
              <w:jc w:val="left"/>
              <w:rPr>
                <w:rFonts w:ascii="宋体" w:eastAsia="宋体" w:hAnsi="宋体" w:cs="宋体"/>
                <w:color w:val="000000"/>
                <w:kern w:val="0"/>
                <w:sz w:val="24"/>
                <w:szCs w:val="24"/>
              </w:rPr>
            </w:pP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发电厂的主厂房、办公楼、机动车车库出入口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推荐</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3</w:t>
            </w:r>
          </w:p>
        </w:tc>
        <w:tc>
          <w:tcPr>
            <w:tcW w:w="4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频</w:t>
            </w:r>
          </w:p>
        </w:tc>
        <w:tc>
          <w:tcPr>
            <w:tcW w:w="0" w:type="auto"/>
            <w:gridSpan w:val="2"/>
            <w:vMerge/>
            <w:tcBorders>
              <w:top w:val="outset" w:sz="6" w:space="0" w:color="ECE9D8"/>
              <w:left w:val="outset" w:sz="6" w:space="0" w:color="ECE9D8"/>
              <w:bottom w:val="outset" w:sz="6" w:space="0" w:color="ECE9D8"/>
              <w:right w:val="single" w:sz="8" w:space="0" w:color="auto"/>
            </w:tcBorders>
            <w:vAlign w:val="center"/>
            <w:hideMark/>
          </w:tcPr>
          <w:p w:rsidR="001242DF" w:rsidRPr="001242DF" w:rsidRDefault="001242DF" w:rsidP="001242DF">
            <w:pPr>
              <w:widowControl/>
              <w:jc w:val="left"/>
              <w:rPr>
                <w:rFonts w:ascii="宋体" w:eastAsia="宋体" w:hAnsi="宋体" w:cs="宋体"/>
                <w:color w:val="000000"/>
                <w:kern w:val="0"/>
                <w:sz w:val="24"/>
                <w:szCs w:val="24"/>
              </w:rPr>
            </w:pP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发电厂的机电炉集中控制室、网控室、升压控制区域出入口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强制</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4</w:t>
            </w:r>
          </w:p>
        </w:tc>
        <w:tc>
          <w:tcPr>
            <w:tcW w:w="4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安</w:t>
            </w:r>
          </w:p>
        </w:tc>
        <w:tc>
          <w:tcPr>
            <w:tcW w:w="0" w:type="auto"/>
            <w:gridSpan w:val="2"/>
            <w:vMerge/>
            <w:tcBorders>
              <w:top w:val="outset" w:sz="6" w:space="0" w:color="ECE9D8"/>
              <w:left w:val="outset" w:sz="6" w:space="0" w:color="ECE9D8"/>
              <w:bottom w:val="outset" w:sz="6" w:space="0" w:color="ECE9D8"/>
              <w:right w:val="single" w:sz="8" w:space="0" w:color="auto"/>
            </w:tcBorders>
            <w:vAlign w:val="center"/>
            <w:hideMark/>
          </w:tcPr>
          <w:p w:rsidR="001242DF" w:rsidRPr="001242DF" w:rsidRDefault="001242DF" w:rsidP="001242DF">
            <w:pPr>
              <w:widowControl/>
              <w:jc w:val="left"/>
              <w:rPr>
                <w:rFonts w:ascii="宋体" w:eastAsia="宋体" w:hAnsi="宋体" w:cs="宋体"/>
                <w:color w:val="000000"/>
                <w:kern w:val="0"/>
                <w:sz w:val="24"/>
                <w:szCs w:val="24"/>
              </w:rPr>
            </w:pP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发电厂的主要通道、周界、发电机组运转层、电梯轿厢</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推荐</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5</w:t>
            </w:r>
          </w:p>
        </w:tc>
        <w:tc>
          <w:tcPr>
            <w:tcW w:w="4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防</w:t>
            </w:r>
          </w:p>
        </w:tc>
        <w:tc>
          <w:tcPr>
            <w:tcW w:w="0" w:type="auto"/>
            <w:gridSpan w:val="2"/>
            <w:vMerge/>
            <w:tcBorders>
              <w:top w:val="outset" w:sz="6" w:space="0" w:color="ECE9D8"/>
              <w:left w:val="outset" w:sz="6" w:space="0" w:color="ECE9D8"/>
              <w:bottom w:val="outset" w:sz="6" w:space="0" w:color="ECE9D8"/>
              <w:right w:val="single" w:sz="8" w:space="0" w:color="auto"/>
            </w:tcBorders>
            <w:vAlign w:val="center"/>
            <w:hideMark/>
          </w:tcPr>
          <w:p w:rsidR="001242DF" w:rsidRPr="001242DF" w:rsidRDefault="001242DF" w:rsidP="001242DF">
            <w:pPr>
              <w:widowControl/>
              <w:jc w:val="left"/>
              <w:rPr>
                <w:rFonts w:ascii="宋体" w:eastAsia="宋体" w:hAnsi="宋体" w:cs="宋体"/>
                <w:color w:val="000000"/>
                <w:kern w:val="0"/>
                <w:sz w:val="24"/>
                <w:szCs w:val="24"/>
              </w:rPr>
            </w:pP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发电厂的油码头、煤码头、重要物资仓库、氢站</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强制</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6</w:t>
            </w:r>
          </w:p>
        </w:tc>
        <w:tc>
          <w:tcPr>
            <w:tcW w:w="4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监</w:t>
            </w:r>
          </w:p>
        </w:tc>
        <w:tc>
          <w:tcPr>
            <w:tcW w:w="0" w:type="auto"/>
            <w:gridSpan w:val="2"/>
            <w:vMerge/>
            <w:tcBorders>
              <w:top w:val="outset" w:sz="6" w:space="0" w:color="ECE9D8"/>
              <w:left w:val="outset" w:sz="6" w:space="0" w:color="ECE9D8"/>
              <w:bottom w:val="outset" w:sz="6" w:space="0" w:color="ECE9D8"/>
              <w:right w:val="single" w:sz="8" w:space="0" w:color="auto"/>
            </w:tcBorders>
            <w:vAlign w:val="center"/>
            <w:hideMark/>
          </w:tcPr>
          <w:p w:rsidR="001242DF" w:rsidRPr="001242DF" w:rsidRDefault="001242DF" w:rsidP="001242DF">
            <w:pPr>
              <w:widowControl/>
              <w:jc w:val="left"/>
              <w:rPr>
                <w:rFonts w:ascii="宋体" w:eastAsia="宋体" w:hAnsi="宋体" w:cs="宋体"/>
                <w:color w:val="000000"/>
                <w:kern w:val="0"/>
                <w:sz w:val="24"/>
                <w:szCs w:val="24"/>
              </w:rPr>
            </w:pP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调度部门的调度室、机动车车库出入口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强制</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7</w:t>
            </w:r>
          </w:p>
        </w:tc>
        <w:tc>
          <w:tcPr>
            <w:tcW w:w="4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控</w:t>
            </w:r>
          </w:p>
        </w:tc>
        <w:tc>
          <w:tcPr>
            <w:tcW w:w="0" w:type="auto"/>
            <w:gridSpan w:val="2"/>
            <w:vMerge/>
            <w:tcBorders>
              <w:top w:val="outset" w:sz="6" w:space="0" w:color="ECE9D8"/>
              <w:left w:val="outset" w:sz="6" w:space="0" w:color="ECE9D8"/>
              <w:bottom w:val="outset" w:sz="6" w:space="0" w:color="ECE9D8"/>
              <w:right w:val="single" w:sz="8" w:space="0" w:color="auto"/>
            </w:tcBorders>
            <w:vAlign w:val="center"/>
            <w:hideMark/>
          </w:tcPr>
          <w:p w:rsidR="001242DF" w:rsidRPr="001242DF" w:rsidRDefault="001242DF" w:rsidP="001242DF">
            <w:pPr>
              <w:widowControl/>
              <w:jc w:val="left"/>
              <w:rPr>
                <w:rFonts w:ascii="宋体" w:eastAsia="宋体" w:hAnsi="宋体" w:cs="宋体"/>
                <w:color w:val="000000"/>
                <w:kern w:val="0"/>
                <w:sz w:val="24"/>
                <w:szCs w:val="24"/>
              </w:rPr>
            </w:pP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调度部门的楼房、通讯机房出入口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推荐</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8</w:t>
            </w:r>
          </w:p>
        </w:tc>
        <w:tc>
          <w:tcPr>
            <w:tcW w:w="4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系</w:t>
            </w:r>
          </w:p>
        </w:tc>
        <w:tc>
          <w:tcPr>
            <w:tcW w:w="0" w:type="auto"/>
            <w:gridSpan w:val="2"/>
            <w:vMerge/>
            <w:tcBorders>
              <w:top w:val="outset" w:sz="6" w:space="0" w:color="ECE9D8"/>
              <w:left w:val="outset" w:sz="6" w:space="0" w:color="ECE9D8"/>
              <w:bottom w:val="outset" w:sz="6" w:space="0" w:color="ECE9D8"/>
              <w:right w:val="single" w:sz="8" w:space="0" w:color="auto"/>
            </w:tcBorders>
            <w:vAlign w:val="center"/>
            <w:hideMark/>
          </w:tcPr>
          <w:p w:rsidR="001242DF" w:rsidRPr="001242DF" w:rsidRDefault="001242DF" w:rsidP="001242DF">
            <w:pPr>
              <w:widowControl/>
              <w:jc w:val="left"/>
              <w:rPr>
                <w:rFonts w:ascii="宋体" w:eastAsia="宋体" w:hAnsi="宋体" w:cs="宋体"/>
                <w:color w:val="000000"/>
                <w:kern w:val="0"/>
                <w:sz w:val="24"/>
                <w:szCs w:val="24"/>
              </w:rPr>
            </w:pP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调度部门的主要通道、电梯轿厢、周界</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推荐</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9</w:t>
            </w:r>
          </w:p>
        </w:tc>
        <w:tc>
          <w:tcPr>
            <w:tcW w:w="4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统</w:t>
            </w:r>
          </w:p>
        </w:tc>
        <w:tc>
          <w:tcPr>
            <w:tcW w:w="0" w:type="auto"/>
            <w:gridSpan w:val="2"/>
            <w:vMerge/>
            <w:tcBorders>
              <w:top w:val="outset" w:sz="6" w:space="0" w:color="ECE9D8"/>
              <w:left w:val="outset" w:sz="6" w:space="0" w:color="ECE9D8"/>
              <w:bottom w:val="outset" w:sz="6" w:space="0" w:color="ECE9D8"/>
              <w:right w:val="single" w:sz="8" w:space="0" w:color="auto"/>
            </w:tcBorders>
            <w:vAlign w:val="center"/>
            <w:hideMark/>
          </w:tcPr>
          <w:p w:rsidR="001242DF" w:rsidRPr="001242DF" w:rsidRDefault="001242DF" w:rsidP="001242DF">
            <w:pPr>
              <w:widowControl/>
              <w:jc w:val="left"/>
              <w:rPr>
                <w:rFonts w:ascii="宋体" w:eastAsia="宋体" w:hAnsi="宋体" w:cs="宋体"/>
                <w:color w:val="000000"/>
                <w:kern w:val="0"/>
                <w:sz w:val="24"/>
                <w:szCs w:val="24"/>
              </w:rPr>
            </w:pP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220 kV（含）以上变电站的出入口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强制</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10</w:t>
            </w:r>
          </w:p>
        </w:tc>
        <w:tc>
          <w:tcPr>
            <w:tcW w:w="4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 </w:t>
            </w:r>
          </w:p>
        </w:tc>
        <w:tc>
          <w:tcPr>
            <w:tcW w:w="0" w:type="auto"/>
            <w:gridSpan w:val="2"/>
            <w:vMerge/>
            <w:tcBorders>
              <w:top w:val="outset" w:sz="6" w:space="0" w:color="ECE9D8"/>
              <w:left w:val="outset" w:sz="6" w:space="0" w:color="ECE9D8"/>
              <w:bottom w:val="outset" w:sz="6" w:space="0" w:color="ECE9D8"/>
              <w:right w:val="single" w:sz="8" w:space="0" w:color="auto"/>
            </w:tcBorders>
            <w:vAlign w:val="center"/>
            <w:hideMark/>
          </w:tcPr>
          <w:p w:rsidR="001242DF" w:rsidRPr="001242DF" w:rsidRDefault="001242DF" w:rsidP="001242DF">
            <w:pPr>
              <w:widowControl/>
              <w:jc w:val="left"/>
              <w:rPr>
                <w:rFonts w:ascii="宋体" w:eastAsia="宋体" w:hAnsi="宋体" w:cs="宋体"/>
                <w:color w:val="000000"/>
                <w:kern w:val="0"/>
                <w:sz w:val="24"/>
                <w:szCs w:val="24"/>
              </w:rPr>
            </w:pP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安防中心控制室的出入口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强制</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11</w:t>
            </w:r>
          </w:p>
        </w:tc>
        <w:tc>
          <w:tcPr>
            <w:tcW w:w="4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 </w:t>
            </w:r>
          </w:p>
        </w:tc>
        <w:tc>
          <w:tcPr>
            <w:tcW w:w="2100"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color w:val="000000"/>
                <w:kern w:val="0"/>
                <w:sz w:val="24"/>
                <w:szCs w:val="24"/>
              </w:rPr>
              <w:br/>
            </w:r>
            <w:r w:rsidRPr="001242DF">
              <w:rPr>
                <w:rFonts w:ascii="宋体" w:eastAsia="宋体" w:hAnsi="宋体" w:cs="宋体" w:hint="eastAsia"/>
                <w:color w:val="000000"/>
                <w:kern w:val="0"/>
                <w:sz w:val="18"/>
                <w:szCs w:val="18"/>
              </w:rPr>
              <w:t>控制、记录、显示装置</w:t>
            </w: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安防中心控制室</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强制</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12</w:t>
            </w:r>
          </w:p>
        </w:tc>
        <w:tc>
          <w:tcPr>
            <w:tcW w:w="420" w:type="dxa"/>
            <w:tcBorders>
              <w:top w:val="single" w:sz="8" w:space="0" w:color="auto"/>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 </w:t>
            </w:r>
          </w:p>
        </w:tc>
        <w:tc>
          <w:tcPr>
            <w:tcW w:w="2100"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入侵探测器</w:t>
            </w: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有周界围墙的发电厂、调度部门楼房等封闭屏障处</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强制</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13</w:t>
            </w:r>
          </w:p>
        </w:tc>
        <w:tc>
          <w:tcPr>
            <w:tcW w:w="4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入</w:t>
            </w:r>
          </w:p>
        </w:tc>
        <w:tc>
          <w:tcPr>
            <w:tcW w:w="0" w:type="auto"/>
            <w:gridSpan w:val="2"/>
            <w:vMerge/>
            <w:tcBorders>
              <w:top w:val="outset" w:sz="6" w:space="0" w:color="ECE9D8"/>
              <w:left w:val="outset" w:sz="6" w:space="0" w:color="ECE9D8"/>
              <w:bottom w:val="outset" w:sz="6" w:space="0" w:color="ECE9D8"/>
              <w:right w:val="single" w:sz="8" w:space="0" w:color="auto"/>
            </w:tcBorders>
            <w:vAlign w:val="center"/>
            <w:hideMark/>
          </w:tcPr>
          <w:p w:rsidR="001242DF" w:rsidRPr="001242DF" w:rsidRDefault="001242DF" w:rsidP="001242DF">
            <w:pPr>
              <w:widowControl/>
              <w:jc w:val="left"/>
              <w:rPr>
                <w:rFonts w:ascii="宋体" w:eastAsia="宋体" w:hAnsi="宋体" w:cs="宋体"/>
                <w:color w:val="000000"/>
                <w:kern w:val="0"/>
                <w:sz w:val="24"/>
                <w:szCs w:val="24"/>
              </w:rPr>
            </w:pP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变电站和重要用户配电站周界围墙等封闭屏障处</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推荐</w:t>
            </w:r>
          </w:p>
        </w:tc>
      </w:tr>
      <w:tr w:rsidR="001242DF" w:rsidRPr="001242DF" w:rsidTr="001242DF">
        <w:trPr>
          <w:cantSplit/>
          <w:trHeight w:val="529"/>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14</w:t>
            </w:r>
          </w:p>
        </w:tc>
        <w:tc>
          <w:tcPr>
            <w:tcW w:w="4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侵</w:t>
            </w:r>
          </w:p>
        </w:tc>
        <w:tc>
          <w:tcPr>
            <w:tcW w:w="0" w:type="auto"/>
            <w:gridSpan w:val="2"/>
            <w:vMerge/>
            <w:tcBorders>
              <w:top w:val="outset" w:sz="6" w:space="0" w:color="ECE9D8"/>
              <w:left w:val="outset" w:sz="6" w:space="0" w:color="ECE9D8"/>
              <w:bottom w:val="outset" w:sz="6" w:space="0" w:color="ECE9D8"/>
              <w:right w:val="single" w:sz="8" w:space="0" w:color="auto"/>
            </w:tcBorders>
            <w:vAlign w:val="center"/>
            <w:hideMark/>
          </w:tcPr>
          <w:p w:rsidR="001242DF" w:rsidRPr="001242DF" w:rsidRDefault="001242DF" w:rsidP="001242DF">
            <w:pPr>
              <w:widowControl/>
              <w:jc w:val="left"/>
              <w:rPr>
                <w:rFonts w:ascii="宋体" w:eastAsia="宋体" w:hAnsi="宋体" w:cs="宋体"/>
                <w:color w:val="000000"/>
                <w:kern w:val="0"/>
                <w:sz w:val="24"/>
                <w:szCs w:val="24"/>
              </w:rPr>
            </w:pP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35kV（含）以上变电站和重要用户配电站的出入口及一楼与外界直接相通的窗户、风口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强制</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15</w:t>
            </w:r>
          </w:p>
        </w:tc>
        <w:tc>
          <w:tcPr>
            <w:tcW w:w="4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报</w:t>
            </w:r>
          </w:p>
        </w:tc>
        <w:tc>
          <w:tcPr>
            <w:tcW w:w="0" w:type="auto"/>
            <w:gridSpan w:val="2"/>
            <w:vMerge/>
            <w:tcBorders>
              <w:top w:val="outset" w:sz="6" w:space="0" w:color="ECE9D8"/>
              <w:left w:val="outset" w:sz="6" w:space="0" w:color="ECE9D8"/>
              <w:bottom w:val="outset" w:sz="6" w:space="0" w:color="ECE9D8"/>
              <w:right w:val="single" w:sz="8" w:space="0" w:color="auto"/>
            </w:tcBorders>
            <w:vAlign w:val="center"/>
            <w:hideMark/>
          </w:tcPr>
          <w:p w:rsidR="001242DF" w:rsidRPr="001242DF" w:rsidRDefault="001242DF" w:rsidP="001242DF">
            <w:pPr>
              <w:widowControl/>
              <w:jc w:val="left"/>
              <w:rPr>
                <w:rFonts w:ascii="宋体" w:eastAsia="宋体" w:hAnsi="宋体" w:cs="宋体"/>
                <w:color w:val="000000"/>
                <w:kern w:val="0"/>
                <w:sz w:val="24"/>
                <w:szCs w:val="24"/>
              </w:rPr>
            </w:pP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过江（海）电缆隧道的出入口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强制</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16</w:t>
            </w:r>
          </w:p>
        </w:tc>
        <w:tc>
          <w:tcPr>
            <w:tcW w:w="4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警</w:t>
            </w:r>
          </w:p>
        </w:tc>
        <w:tc>
          <w:tcPr>
            <w:tcW w:w="0" w:type="auto"/>
            <w:gridSpan w:val="2"/>
            <w:vMerge/>
            <w:tcBorders>
              <w:top w:val="outset" w:sz="6" w:space="0" w:color="ECE9D8"/>
              <w:left w:val="outset" w:sz="6" w:space="0" w:color="ECE9D8"/>
              <w:bottom w:val="outset" w:sz="6" w:space="0" w:color="ECE9D8"/>
              <w:right w:val="single" w:sz="8" w:space="0" w:color="auto"/>
            </w:tcBorders>
            <w:vAlign w:val="center"/>
            <w:hideMark/>
          </w:tcPr>
          <w:p w:rsidR="001242DF" w:rsidRPr="001242DF" w:rsidRDefault="001242DF" w:rsidP="001242DF">
            <w:pPr>
              <w:widowControl/>
              <w:jc w:val="left"/>
              <w:rPr>
                <w:rFonts w:ascii="宋体" w:eastAsia="宋体" w:hAnsi="宋体" w:cs="宋体"/>
                <w:color w:val="000000"/>
                <w:kern w:val="0"/>
                <w:sz w:val="24"/>
                <w:szCs w:val="24"/>
              </w:rPr>
            </w:pP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重要办公场所</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强制</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17</w:t>
            </w:r>
          </w:p>
        </w:tc>
        <w:tc>
          <w:tcPr>
            <w:tcW w:w="4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系</w:t>
            </w:r>
          </w:p>
        </w:tc>
        <w:tc>
          <w:tcPr>
            <w:tcW w:w="2100"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紧急报警装置</w:t>
            </w: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发电厂的警卫室和调度部门的调度室</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强制</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18</w:t>
            </w:r>
          </w:p>
        </w:tc>
        <w:tc>
          <w:tcPr>
            <w:tcW w:w="4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统</w:t>
            </w:r>
          </w:p>
        </w:tc>
        <w:tc>
          <w:tcPr>
            <w:tcW w:w="0" w:type="auto"/>
            <w:gridSpan w:val="2"/>
            <w:vMerge/>
            <w:tcBorders>
              <w:top w:val="outset" w:sz="6" w:space="0" w:color="ECE9D8"/>
              <w:left w:val="outset" w:sz="6" w:space="0" w:color="ECE9D8"/>
              <w:bottom w:val="outset" w:sz="6" w:space="0" w:color="ECE9D8"/>
              <w:right w:val="single" w:sz="8" w:space="0" w:color="auto"/>
            </w:tcBorders>
            <w:vAlign w:val="center"/>
            <w:hideMark/>
          </w:tcPr>
          <w:p w:rsidR="001242DF" w:rsidRPr="001242DF" w:rsidRDefault="001242DF" w:rsidP="001242DF">
            <w:pPr>
              <w:widowControl/>
              <w:jc w:val="left"/>
              <w:rPr>
                <w:rFonts w:ascii="宋体" w:eastAsia="宋体" w:hAnsi="宋体" w:cs="宋体"/>
                <w:color w:val="000000"/>
                <w:kern w:val="0"/>
                <w:sz w:val="24"/>
                <w:szCs w:val="24"/>
              </w:rPr>
            </w:pP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安防中心控制室</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强制</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19</w:t>
            </w:r>
          </w:p>
        </w:tc>
        <w:tc>
          <w:tcPr>
            <w:tcW w:w="4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 </w:t>
            </w:r>
          </w:p>
        </w:tc>
        <w:tc>
          <w:tcPr>
            <w:tcW w:w="2100"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防盗报警控制器、告警器、终端图形显示装置</w:t>
            </w: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安防中心控制室</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强制</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20</w:t>
            </w:r>
          </w:p>
        </w:tc>
        <w:tc>
          <w:tcPr>
            <w:tcW w:w="2520" w:type="dxa"/>
            <w:gridSpan w:val="3"/>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出入口控制系统</w:t>
            </w: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发电厂电气控制室、信息中心、通讯机房的出入口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强制</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21</w:t>
            </w:r>
          </w:p>
        </w:tc>
        <w:tc>
          <w:tcPr>
            <w:tcW w:w="0" w:type="auto"/>
            <w:gridSpan w:val="3"/>
            <w:vMerge/>
            <w:tcBorders>
              <w:top w:val="outset" w:sz="6" w:space="0" w:color="ECE9D8"/>
              <w:left w:val="single" w:sz="8" w:space="0" w:color="auto"/>
              <w:bottom w:val="single" w:sz="8" w:space="0" w:color="auto"/>
              <w:right w:val="single" w:sz="8" w:space="0" w:color="auto"/>
            </w:tcBorders>
            <w:vAlign w:val="center"/>
            <w:hideMark/>
          </w:tcPr>
          <w:p w:rsidR="001242DF" w:rsidRPr="001242DF" w:rsidRDefault="001242DF" w:rsidP="001242DF">
            <w:pPr>
              <w:widowControl/>
              <w:jc w:val="left"/>
              <w:rPr>
                <w:rFonts w:ascii="宋体" w:eastAsia="宋体" w:hAnsi="宋体" w:cs="宋体"/>
                <w:color w:val="000000"/>
                <w:kern w:val="0"/>
                <w:sz w:val="24"/>
                <w:szCs w:val="24"/>
              </w:rPr>
            </w:pP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发电厂、调度部门、重要办公场所的出入口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推荐</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22</w:t>
            </w:r>
          </w:p>
        </w:tc>
        <w:tc>
          <w:tcPr>
            <w:tcW w:w="0" w:type="auto"/>
            <w:gridSpan w:val="3"/>
            <w:vMerge/>
            <w:tcBorders>
              <w:top w:val="outset" w:sz="6" w:space="0" w:color="ECE9D8"/>
              <w:left w:val="single" w:sz="8" w:space="0" w:color="auto"/>
              <w:bottom w:val="single" w:sz="8" w:space="0" w:color="auto"/>
              <w:right w:val="single" w:sz="8" w:space="0" w:color="auto"/>
            </w:tcBorders>
            <w:vAlign w:val="center"/>
            <w:hideMark/>
          </w:tcPr>
          <w:p w:rsidR="001242DF" w:rsidRPr="001242DF" w:rsidRDefault="001242DF" w:rsidP="001242DF">
            <w:pPr>
              <w:widowControl/>
              <w:jc w:val="left"/>
              <w:rPr>
                <w:rFonts w:ascii="宋体" w:eastAsia="宋体" w:hAnsi="宋体" w:cs="宋体"/>
                <w:color w:val="000000"/>
                <w:kern w:val="0"/>
                <w:sz w:val="24"/>
                <w:szCs w:val="24"/>
              </w:rPr>
            </w:pP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调度部门的调度室、重要用户配电站的出入口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强制</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lastRenderedPageBreak/>
              <w:t>23</w:t>
            </w:r>
          </w:p>
        </w:tc>
        <w:tc>
          <w:tcPr>
            <w:tcW w:w="945" w:type="dxa"/>
            <w:gridSpan w:val="2"/>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color w:val="000000"/>
                <w:kern w:val="0"/>
                <w:sz w:val="24"/>
                <w:szCs w:val="24"/>
              </w:rPr>
              <w:br/>
            </w:r>
            <w:r w:rsidRPr="001242DF">
              <w:rPr>
                <w:rFonts w:ascii="宋体" w:eastAsia="宋体" w:hAnsi="宋体" w:cs="宋体" w:hint="eastAsia"/>
                <w:color w:val="000000"/>
                <w:kern w:val="0"/>
                <w:sz w:val="18"/>
                <w:szCs w:val="18"/>
              </w:rPr>
              <w:t>电话来电显示、记录系统</w:t>
            </w:r>
          </w:p>
        </w:tc>
        <w:tc>
          <w:tcPr>
            <w:tcW w:w="15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来电号码显示</w:t>
            </w: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电话总机、公开对外的电话</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强制</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24</w:t>
            </w:r>
          </w:p>
        </w:tc>
        <w:tc>
          <w:tcPr>
            <w:tcW w:w="945"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 </w:t>
            </w:r>
          </w:p>
        </w:tc>
        <w:tc>
          <w:tcPr>
            <w:tcW w:w="15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来电通话记录</w:t>
            </w: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对外公开服务、咨询的电话</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强制</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25</w:t>
            </w:r>
          </w:p>
        </w:tc>
        <w:tc>
          <w:tcPr>
            <w:tcW w:w="2520" w:type="dxa"/>
            <w:gridSpan w:val="3"/>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电子巡查系统</w:t>
            </w: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发电厂油煤码头、重要物资仓库、氢站及其他重要部位</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推荐</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26</w:t>
            </w:r>
          </w:p>
        </w:tc>
        <w:tc>
          <w:tcPr>
            <w:tcW w:w="0" w:type="auto"/>
            <w:gridSpan w:val="3"/>
            <w:vMerge/>
            <w:tcBorders>
              <w:top w:val="outset" w:sz="6" w:space="0" w:color="ECE9D8"/>
              <w:left w:val="single" w:sz="8" w:space="0" w:color="auto"/>
              <w:bottom w:val="single" w:sz="8" w:space="0" w:color="auto"/>
              <w:right w:val="single" w:sz="8" w:space="0" w:color="auto"/>
            </w:tcBorders>
            <w:vAlign w:val="center"/>
            <w:hideMark/>
          </w:tcPr>
          <w:p w:rsidR="001242DF" w:rsidRPr="001242DF" w:rsidRDefault="001242DF" w:rsidP="001242DF">
            <w:pPr>
              <w:widowControl/>
              <w:jc w:val="left"/>
              <w:rPr>
                <w:rFonts w:ascii="宋体" w:eastAsia="宋体" w:hAnsi="宋体" w:cs="宋体"/>
                <w:color w:val="000000"/>
                <w:kern w:val="0"/>
                <w:sz w:val="24"/>
                <w:szCs w:val="24"/>
              </w:rPr>
            </w:pP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调度室楼房周围、重要物资仓库以及其他重要部位</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推荐</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27</w:t>
            </w:r>
          </w:p>
        </w:tc>
        <w:tc>
          <w:tcPr>
            <w:tcW w:w="4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 </w:t>
            </w:r>
          </w:p>
        </w:tc>
        <w:tc>
          <w:tcPr>
            <w:tcW w:w="2100" w:type="dxa"/>
            <w:gridSpan w:val="2"/>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color w:val="000000"/>
                <w:kern w:val="0"/>
                <w:sz w:val="24"/>
                <w:szCs w:val="24"/>
              </w:rPr>
              <w:br/>
            </w:r>
            <w:r w:rsidRPr="001242DF">
              <w:rPr>
                <w:rFonts w:ascii="宋体" w:eastAsia="宋体" w:hAnsi="宋体" w:cs="宋体" w:hint="eastAsia"/>
                <w:color w:val="000000"/>
                <w:kern w:val="0"/>
                <w:sz w:val="18"/>
                <w:szCs w:val="18"/>
              </w:rPr>
              <w:t>防盗安全门或金属框玻</w:t>
            </w: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发电厂信息中心、6kV（含）以上开关室、电缆层的出入口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推荐</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28</w:t>
            </w:r>
          </w:p>
        </w:tc>
        <w:tc>
          <w:tcPr>
            <w:tcW w:w="4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实</w:t>
            </w:r>
          </w:p>
        </w:tc>
        <w:tc>
          <w:tcPr>
            <w:tcW w:w="2100" w:type="dxa"/>
            <w:gridSpan w:val="2"/>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璃防暴门</w:t>
            </w: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重要用户配电站的出入口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强制</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29</w:t>
            </w:r>
          </w:p>
        </w:tc>
        <w:tc>
          <w:tcPr>
            <w:tcW w:w="4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体</w:t>
            </w:r>
          </w:p>
        </w:tc>
        <w:tc>
          <w:tcPr>
            <w:tcW w:w="2100" w:type="dxa"/>
            <w:gridSpan w:val="2"/>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 </w:t>
            </w: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重要办公场所的出入口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强制</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30</w:t>
            </w:r>
          </w:p>
        </w:tc>
        <w:tc>
          <w:tcPr>
            <w:tcW w:w="4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防</w:t>
            </w:r>
          </w:p>
        </w:tc>
        <w:tc>
          <w:tcPr>
            <w:tcW w:w="2100"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 </w:t>
            </w: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调度部门的调度室和安防中心控制室出入口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推荐</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31</w:t>
            </w:r>
          </w:p>
        </w:tc>
        <w:tc>
          <w:tcPr>
            <w:tcW w:w="4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护</w:t>
            </w:r>
          </w:p>
        </w:tc>
        <w:tc>
          <w:tcPr>
            <w:tcW w:w="2100"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color w:val="000000"/>
                <w:kern w:val="0"/>
                <w:sz w:val="24"/>
                <w:szCs w:val="24"/>
              </w:rPr>
              <w:br/>
            </w:r>
            <w:r w:rsidRPr="001242DF">
              <w:rPr>
                <w:rFonts w:ascii="宋体" w:eastAsia="宋体" w:hAnsi="宋体" w:cs="宋体" w:hint="eastAsia"/>
                <w:color w:val="000000"/>
                <w:kern w:val="0"/>
                <w:sz w:val="18"/>
                <w:szCs w:val="18"/>
              </w:rPr>
              <w:t>金属防护门或防盗安全门</w:t>
            </w: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变电站的出入口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强制</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32</w:t>
            </w:r>
          </w:p>
        </w:tc>
        <w:tc>
          <w:tcPr>
            <w:tcW w:w="4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 </w:t>
            </w:r>
          </w:p>
        </w:tc>
        <w:tc>
          <w:tcPr>
            <w:tcW w:w="2100"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防盗栅栏</w:t>
            </w: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无人值守的变电站、重要用户配电站与外界相通的1、2层的窗户和风口</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强制</w:t>
            </w:r>
          </w:p>
        </w:tc>
      </w:tr>
      <w:tr w:rsidR="001242DF" w:rsidRPr="001242DF" w:rsidTr="001242DF">
        <w:trPr>
          <w:cantSplit/>
          <w:trHeight w:val="312"/>
          <w:jc w:val="center"/>
        </w:trPr>
        <w:tc>
          <w:tcPr>
            <w:tcW w:w="58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33</w:t>
            </w:r>
          </w:p>
        </w:tc>
        <w:tc>
          <w:tcPr>
            <w:tcW w:w="4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 </w:t>
            </w: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1242DF" w:rsidRPr="001242DF" w:rsidRDefault="001242DF" w:rsidP="001242DF">
            <w:pPr>
              <w:widowControl/>
              <w:jc w:val="left"/>
              <w:rPr>
                <w:rFonts w:ascii="宋体" w:eastAsia="宋体" w:hAnsi="宋体" w:cs="宋体"/>
                <w:color w:val="000000"/>
                <w:kern w:val="0"/>
                <w:sz w:val="24"/>
                <w:szCs w:val="24"/>
              </w:rPr>
            </w:pPr>
          </w:p>
        </w:tc>
        <w:tc>
          <w:tcPr>
            <w:tcW w:w="48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left"/>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重要办公场所的窗户</w:t>
            </w:r>
          </w:p>
        </w:tc>
        <w:tc>
          <w:tcPr>
            <w:tcW w:w="9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242DF" w:rsidRPr="001242DF" w:rsidRDefault="001242DF" w:rsidP="001242DF">
            <w:pPr>
              <w:widowControl/>
              <w:spacing w:line="240" w:lineRule="atLeast"/>
              <w:jc w:val="center"/>
              <w:rPr>
                <w:rFonts w:ascii="宋体" w:eastAsia="宋体" w:hAnsi="宋体" w:cs="宋体"/>
                <w:color w:val="000000"/>
                <w:kern w:val="0"/>
                <w:sz w:val="24"/>
                <w:szCs w:val="24"/>
              </w:rPr>
            </w:pPr>
            <w:r w:rsidRPr="001242DF">
              <w:rPr>
                <w:rFonts w:ascii="宋体" w:eastAsia="宋体" w:hAnsi="宋体" w:cs="宋体" w:hint="eastAsia"/>
                <w:color w:val="000000"/>
                <w:kern w:val="0"/>
                <w:sz w:val="18"/>
                <w:szCs w:val="18"/>
              </w:rPr>
              <w:t>强制</w:t>
            </w:r>
          </w:p>
        </w:tc>
      </w:tr>
      <w:tr w:rsidR="001242DF" w:rsidRPr="001242DF" w:rsidTr="001242DF">
        <w:trPr>
          <w:jc w:val="center"/>
        </w:trPr>
        <w:tc>
          <w:tcPr>
            <w:tcW w:w="58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1242DF" w:rsidRPr="001242DF" w:rsidRDefault="001242DF" w:rsidP="001242DF">
            <w:pPr>
              <w:widowControl/>
              <w:jc w:val="left"/>
              <w:rPr>
                <w:rFonts w:ascii="宋体" w:eastAsia="宋体" w:hAnsi="宋体" w:cs="宋体"/>
                <w:color w:val="000000"/>
                <w:kern w:val="0"/>
                <w:sz w:val="18"/>
                <w:szCs w:val="18"/>
              </w:rPr>
            </w:pPr>
            <w:r w:rsidRPr="001242DF">
              <w:rPr>
                <w:rFonts w:ascii="宋体" w:eastAsia="宋体" w:hAnsi="宋体" w:cs="宋体" w:hint="eastAsia"/>
                <w:color w:val="000000"/>
                <w:kern w:val="0"/>
                <w:szCs w:val="21"/>
              </w:rPr>
              <w:t> </w:t>
            </w:r>
          </w:p>
        </w:tc>
        <w:tc>
          <w:tcPr>
            <w:tcW w:w="42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1242DF" w:rsidRPr="001242DF" w:rsidRDefault="001242DF" w:rsidP="001242DF">
            <w:pPr>
              <w:widowControl/>
              <w:jc w:val="left"/>
              <w:rPr>
                <w:rFonts w:ascii="宋体" w:eastAsia="宋体" w:hAnsi="宋体" w:cs="宋体"/>
                <w:color w:val="000000"/>
                <w:kern w:val="0"/>
                <w:sz w:val="18"/>
                <w:szCs w:val="18"/>
              </w:rPr>
            </w:pPr>
            <w:r w:rsidRPr="001242DF">
              <w:rPr>
                <w:rFonts w:ascii="宋体" w:eastAsia="宋体" w:hAnsi="宋体" w:cs="宋体" w:hint="eastAsia"/>
                <w:color w:val="000000"/>
                <w:kern w:val="0"/>
                <w:szCs w:val="21"/>
              </w:rPr>
              <w:t> </w:t>
            </w:r>
          </w:p>
        </w:tc>
        <w:tc>
          <w:tcPr>
            <w:tcW w:w="52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1242DF" w:rsidRPr="001242DF" w:rsidRDefault="001242DF" w:rsidP="001242DF">
            <w:pPr>
              <w:widowControl/>
              <w:jc w:val="left"/>
              <w:rPr>
                <w:rFonts w:ascii="宋体" w:eastAsia="宋体" w:hAnsi="宋体" w:cs="宋体"/>
                <w:color w:val="000000"/>
                <w:kern w:val="0"/>
                <w:sz w:val="18"/>
                <w:szCs w:val="18"/>
              </w:rPr>
            </w:pPr>
            <w:r w:rsidRPr="001242DF">
              <w:rPr>
                <w:rFonts w:ascii="宋体" w:eastAsia="宋体" w:hAnsi="宋体" w:cs="宋体" w:hint="eastAsia"/>
                <w:color w:val="000000"/>
                <w:kern w:val="0"/>
                <w:szCs w:val="21"/>
              </w:rPr>
              <w:t> </w:t>
            </w:r>
          </w:p>
        </w:tc>
        <w:tc>
          <w:tcPr>
            <w:tcW w:w="157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1242DF" w:rsidRPr="001242DF" w:rsidRDefault="001242DF" w:rsidP="001242DF">
            <w:pPr>
              <w:widowControl/>
              <w:jc w:val="left"/>
              <w:rPr>
                <w:rFonts w:ascii="宋体" w:eastAsia="宋体" w:hAnsi="宋体" w:cs="宋体"/>
                <w:color w:val="000000"/>
                <w:kern w:val="0"/>
                <w:sz w:val="18"/>
                <w:szCs w:val="18"/>
              </w:rPr>
            </w:pPr>
            <w:r w:rsidRPr="001242DF">
              <w:rPr>
                <w:rFonts w:ascii="宋体" w:eastAsia="宋体" w:hAnsi="宋体" w:cs="宋体" w:hint="eastAsia"/>
                <w:color w:val="000000"/>
                <w:kern w:val="0"/>
                <w:szCs w:val="21"/>
              </w:rPr>
              <w:t> </w:t>
            </w:r>
          </w:p>
        </w:tc>
        <w:tc>
          <w:tcPr>
            <w:tcW w:w="483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1242DF" w:rsidRPr="001242DF" w:rsidRDefault="001242DF" w:rsidP="001242DF">
            <w:pPr>
              <w:widowControl/>
              <w:jc w:val="left"/>
              <w:rPr>
                <w:rFonts w:ascii="宋体" w:eastAsia="宋体" w:hAnsi="宋体" w:cs="宋体"/>
                <w:color w:val="000000"/>
                <w:kern w:val="0"/>
                <w:sz w:val="18"/>
                <w:szCs w:val="18"/>
              </w:rPr>
            </w:pPr>
            <w:r w:rsidRPr="001242DF">
              <w:rPr>
                <w:rFonts w:ascii="宋体" w:eastAsia="宋体" w:hAnsi="宋体" w:cs="宋体" w:hint="eastAsia"/>
                <w:color w:val="000000"/>
                <w:kern w:val="0"/>
                <w:szCs w:val="21"/>
              </w:rPr>
              <w:t> </w:t>
            </w:r>
          </w:p>
        </w:tc>
        <w:tc>
          <w:tcPr>
            <w:tcW w:w="99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1242DF" w:rsidRPr="001242DF" w:rsidRDefault="001242DF" w:rsidP="001242DF">
            <w:pPr>
              <w:widowControl/>
              <w:jc w:val="left"/>
              <w:rPr>
                <w:rFonts w:ascii="宋体" w:eastAsia="宋体" w:hAnsi="宋体" w:cs="宋体"/>
                <w:color w:val="000000"/>
                <w:kern w:val="0"/>
                <w:sz w:val="18"/>
                <w:szCs w:val="18"/>
              </w:rPr>
            </w:pPr>
            <w:r w:rsidRPr="001242DF">
              <w:rPr>
                <w:rFonts w:ascii="宋体" w:eastAsia="宋体" w:hAnsi="宋体" w:cs="宋体" w:hint="eastAsia"/>
                <w:color w:val="000000"/>
                <w:kern w:val="0"/>
                <w:szCs w:val="21"/>
              </w:rPr>
              <w:t> </w:t>
            </w:r>
          </w:p>
        </w:tc>
      </w:tr>
    </w:tbl>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4.2.1.1</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 系统由前端摄像机、传输网络、控制、记录与显示装置等组成。</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4.2.1.2</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摄像机安装应符合以下要求：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a）摄像机在室外安装位置离地高度宜大于3.5m，室内安装位置离地高度宜大于2.5m；</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b）减少或避免显示画面出现逆光；</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c）摄像机监视范围内的平均照度宜不小于200Lx。</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d） 出入口安装的摄像机还应符合以下要求：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（1） 固定焦距、方向；</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（2） 不应有盲区；</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（3） 通过显示屏24小时内均应能清楚地显示出入人员面部特征、机动车牌号，必要时应增加照明装置；</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（4） 出入人员面部的有效画面宜不小于监视器显示画面的</w:t>
      </w:r>
      <w:r w:rsidRPr="001242DF">
        <w:rPr>
          <w:rFonts w:ascii="’serif’" w:eastAsia="’serif’" w:hAnsi="黑体" w:cs="宋体" w:hint="eastAsia"/>
          <w:color w:val="4A4A4A"/>
          <w:kern w:val="0"/>
          <w:szCs w:val="21"/>
        </w:rPr>
        <w:t>1/60</w:t>
      </w:r>
      <w:r w:rsidRPr="001242DF">
        <w:rPr>
          <w:rFonts w:ascii="宋体" w:eastAsia="宋体" w:hAnsi="宋体" w:cs="宋体" w:hint="eastAsia"/>
          <w:color w:val="4A4A4A"/>
          <w:kern w:val="0"/>
          <w:szCs w:val="21"/>
        </w:rPr>
        <w:t>。</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color w:val="4A4A4A"/>
          <w:kern w:val="0"/>
          <w:szCs w:val="21"/>
        </w:rPr>
        <w:t>e）其他区域安装的摄像机，通过显示屏应能显示监视范围内所有人员活动的情况。</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lastRenderedPageBreak/>
        <w:t>4.2.1.3</w:t>
      </w:r>
      <w:r w:rsidRPr="001242DF">
        <w:rPr>
          <w:rFonts w:ascii="Times New Roman" w:eastAsia="黑体" w:hAnsi="Times New Roman" w:cs="Times New Roman" w:hint="eastAsia"/>
          <w:color w:val="4A4A4A"/>
          <w:kern w:val="0"/>
          <w:szCs w:val="21"/>
        </w:rPr>
        <w:t>  </w:t>
      </w:r>
      <w:r w:rsidRPr="001242DF">
        <w:rPr>
          <w:rFonts w:ascii="宋体" w:eastAsia="宋体" w:hAnsi="宋体" w:cs="宋体" w:hint="eastAsia"/>
          <w:color w:val="4A4A4A"/>
          <w:kern w:val="0"/>
          <w:szCs w:val="21"/>
        </w:rPr>
        <w:t>电梯轿厢内安装摄像机的，应安装在电梯轿厢门前上方的一侧，且应配置电梯楼层信号叠加器。</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4.2.1.4</w:t>
      </w:r>
      <w:r w:rsidRPr="001242DF">
        <w:rPr>
          <w:rFonts w:ascii="Times New Roman" w:eastAsia="黑体" w:hAnsi="Times New Roman" w:cs="Times New Roman" w:hint="eastAsia"/>
          <w:color w:val="4A4A4A"/>
          <w:kern w:val="0"/>
          <w:szCs w:val="21"/>
        </w:rPr>
        <w:t>  </w:t>
      </w:r>
      <w:r w:rsidRPr="001242DF">
        <w:rPr>
          <w:rFonts w:ascii="宋体" w:eastAsia="宋体" w:hAnsi="宋体" w:cs="宋体" w:hint="eastAsia"/>
          <w:color w:val="4A4A4A"/>
          <w:kern w:val="0"/>
          <w:szCs w:val="21"/>
        </w:rPr>
        <w:t>周界安装摄像机的部位，夜间应有报警灯光联动的功能。</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4.2.1.5</w:t>
      </w:r>
      <w:r w:rsidRPr="001242DF">
        <w:rPr>
          <w:rFonts w:ascii="Times New Roman" w:eastAsia="黑体" w:hAnsi="Times New Roman" w:cs="Times New Roman" w:hint="eastAsia"/>
          <w:color w:val="4A4A4A"/>
          <w:kern w:val="0"/>
          <w:szCs w:val="21"/>
        </w:rPr>
        <w:t>  </w:t>
      </w:r>
      <w:r w:rsidRPr="001242DF">
        <w:rPr>
          <w:rFonts w:ascii="宋体" w:eastAsia="宋体" w:hAnsi="宋体" w:cs="宋体" w:hint="eastAsia"/>
          <w:color w:val="4A4A4A"/>
          <w:kern w:val="0"/>
          <w:szCs w:val="21"/>
        </w:rPr>
        <w:t>摄像机在标准照度下，视频监控系统图像信号的技术指标应不低于</w:t>
      </w:r>
      <w:r w:rsidRPr="001242DF">
        <w:rPr>
          <w:rFonts w:ascii="Times New Roman" w:eastAsia="黑体" w:hAnsi="Times New Roman" w:cs="Times New Roman" w:hint="eastAsia"/>
          <w:color w:val="4A4A4A"/>
          <w:kern w:val="0"/>
          <w:szCs w:val="21"/>
        </w:rPr>
        <w:t>GB 50198</w:t>
      </w:r>
      <w:r w:rsidRPr="001242DF">
        <w:rPr>
          <w:rFonts w:ascii="宋体" w:eastAsia="宋体" w:hAnsi="宋体" w:cs="宋体" w:hint="eastAsia"/>
          <w:color w:val="4A4A4A"/>
          <w:kern w:val="0"/>
          <w:szCs w:val="21"/>
        </w:rPr>
        <w:t>规定的评分等级</w:t>
      </w:r>
      <w:r w:rsidRPr="001242DF">
        <w:rPr>
          <w:rFonts w:ascii="Times New Roman" w:eastAsia="黑体" w:hAnsi="Times New Roman" w:cs="Times New Roman" w:hint="eastAsia"/>
          <w:color w:val="4A4A4A"/>
          <w:kern w:val="0"/>
          <w:szCs w:val="21"/>
        </w:rPr>
        <w:t>4</w:t>
      </w:r>
      <w:r w:rsidRPr="001242DF">
        <w:rPr>
          <w:rFonts w:ascii="宋体" w:eastAsia="宋体" w:hAnsi="宋体" w:cs="宋体" w:hint="eastAsia"/>
          <w:color w:val="4A4A4A"/>
          <w:kern w:val="0"/>
          <w:szCs w:val="21"/>
        </w:rPr>
        <w:t>级的要求，回放图像质量应不低于</w:t>
      </w:r>
      <w:r w:rsidRPr="001242DF">
        <w:rPr>
          <w:rFonts w:ascii="Times New Roman" w:eastAsia="黑体" w:hAnsi="Times New Roman" w:cs="Times New Roman" w:hint="eastAsia"/>
          <w:color w:val="4A4A4A"/>
          <w:kern w:val="0"/>
          <w:szCs w:val="21"/>
        </w:rPr>
        <w:t>GB 50198</w:t>
      </w:r>
      <w:r w:rsidRPr="001242DF">
        <w:rPr>
          <w:rFonts w:ascii="宋体" w:eastAsia="宋体" w:hAnsi="宋体" w:cs="宋体" w:hint="eastAsia"/>
          <w:color w:val="4A4A4A"/>
          <w:spacing w:val="4"/>
          <w:kern w:val="0"/>
          <w:szCs w:val="21"/>
        </w:rPr>
        <w:t>规定</w:t>
      </w:r>
      <w:r w:rsidRPr="001242DF">
        <w:rPr>
          <w:rFonts w:ascii="宋体" w:eastAsia="宋体" w:hAnsi="宋体" w:cs="宋体" w:hint="eastAsia"/>
          <w:color w:val="4A4A4A"/>
          <w:kern w:val="0"/>
          <w:szCs w:val="21"/>
        </w:rPr>
        <w:t>的</w:t>
      </w:r>
      <w:r w:rsidRPr="001242DF">
        <w:rPr>
          <w:rFonts w:ascii="宋体" w:eastAsia="宋体" w:hAnsi="宋体" w:cs="宋体" w:hint="eastAsia"/>
          <w:color w:val="4A4A4A"/>
          <w:spacing w:val="4"/>
          <w:kern w:val="0"/>
          <w:szCs w:val="21"/>
        </w:rPr>
        <w:t>评分等级</w:t>
      </w:r>
      <w:r w:rsidRPr="001242DF">
        <w:rPr>
          <w:rFonts w:ascii="宋体" w:eastAsia="宋体" w:hAnsi="宋体" w:cs="宋体" w:hint="eastAsia"/>
          <w:color w:val="4A4A4A"/>
          <w:kern w:val="0"/>
          <w:szCs w:val="21"/>
        </w:rPr>
        <w:t>3级的要求。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4.2.1.6</w:t>
      </w:r>
      <w:r w:rsidRPr="001242DF">
        <w:rPr>
          <w:rFonts w:ascii="Times New Roman" w:eastAsia="黑体" w:hAnsi="Times New Roman" w:cs="Times New Roman" w:hint="eastAsia"/>
          <w:color w:val="4A4A4A"/>
          <w:kern w:val="0"/>
          <w:szCs w:val="21"/>
        </w:rPr>
        <w:t>  </w:t>
      </w:r>
      <w:r w:rsidRPr="001242DF">
        <w:rPr>
          <w:rFonts w:ascii="宋体" w:eastAsia="宋体" w:hAnsi="宋体" w:cs="宋体" w:hint="eastAsia"/>
          <w:color w:val="4A4A4A"/>
          <w:kern w:val="0"/>
          <w:szCs w:val="21"/>
        </w:rPr>
        <w:t>系统应能切换图像，并能根据系统的配置，控制摄像机云台、镜头等。</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4.2.1.7</w:t>
      </w:r>
      <w:r w:rsidRPr="001242DF">
        <w:rPr>
          <w:rFonts w:ascii="Times New Roman" w:eastAsia="黑体" w:hAnsi="Times New Roman" w:cs="Times New Roman" w:hint="eastAsia"/>
          <w:color w:val="4A4A4A"/>
          <w:kern w:val="0"/>
          <w:szCs w:val="21"/>
        </w:rPr>
        <w:t>  </w:t>
      </w:r>
      <w:r w:rsidRPr="001242DF">
        <w:rPr>
          <w:rFonts w:ascii="宋体" w:eastAsia="宋体" w:hAnsi="宋体" w:cs="宋体" w:hint="eastAsia"/>
          <w:color w:val="4A4A4A"/>
          <w:kern w:val="0"/>
          <w:szCs w:val="21"/>
        </w:rPr>
        <w:t>系统应具有时间、日期的字符叠加、记录和调整功能，时间误差应在±</w:t>
      </w:r>
      <w:r w:rsidRPr="001242DF">
        <w:rPr>
          <w:rFonts w:ascii="Times New Roman" w:eastAsia="黑体" w:hAnsi="Times New Roman" w:cs="Times New Roman" w:hint="eastAsia"/>
          <w:color w:val="4A4A4A"/>
          <w:kern w:val="0"/>
          <w:szCs w:val="21"/>
        </w:rPr>
        <w:t>30s</w:t>
      </w:r>
      <w:r w:rsidRPr="001242DF">
        <w:rPr>
          <w:rFonts w:ascii="宋体" w:eastAsia="宋体" w:hAnsi="宋体" w:cs="宋体" w:hint="eastAsia"/>
          <w:color w:val="4A4A4A"/>
          <w:kern w:val="0"/>
          <w:szCs w:val="21"/>
        </w:rPr>
        <w:t>以内。字符叠加不应影响图像记录效果。</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4.2.1.8</w:t>
      </w:r>
      <w:r w:rsidRPr="001242DF">
        <w:rPr>
          <w:rFonts w:ascii="Times New Roman" w:eastAsia="黑体" w:hAnsi="Times New Roman" w:cs="Times New Roman" w:hint="eastAsia"/>
          <w:color w:val="4A4A4A"/>
          <w:kern w:val="0"/>
          <w:szCs w:val="21"/>
        </w:rPr>
        <w:t>  </w:t>
      </w:r>
      <w:r w:rsidRPr="001242DF">
        <w:rPr>
          <w:rFonts w:ascii="宋体" w:eastAsia="宋体" w:hAnsi="宋体" w:cs="宋体" w:hint="eastAsia"/>
          <w:color w:val="4A4A4A"/>
          <w:kern w:val="0"/>
          <w:szCs w:val="21"/>
        </w:rPr>
        <w:t>系统应采用硬盘录像机进行</w:t>
      </w:r>
      <w:r w:rsidRPr="001242DF">
        <w:rPr>
          <w:rFonts w:ascii="Times New Roman" w:eastAsia="黑体" w:hAnsi="Times New Roman" w:cs="Times New Roman" w:hint="eastAsia"/>
          <w:color w:val="4A4A4A"/>
          <w:kern w:val="0"/>
          <w:szCs w:val="21"/>
        </w:rPr>
        <w:t>24h</w:t>
      </w:r>
      <w:r w:rsidRPr="001242DF">
        <w:rPr>
          <w:rFonts w:ascii="宋体" w:eastAsia="宋体" w:hAnsi="宋体" w:cs="宋体" w:hint="eastAsia"/>
          <w:color w:val="4A4A4A"/>
          <w:kern w:val="0"/>
          <w:szCs w:val="21"/>
        </w:rPr>
        <w:t>图像记录。图像记录帧速应不少于</w:t>
      </w:r>
      <w:r w:rsidRPr="001242DF">
        <w:rPr>
          <w:rFonts w:ascii="Times New Roman" w:eastAsia="黑体" w:hAnsi="Times New Roman" w:cs="Times New Roman" w:hint="eastAsia"/>
          <w:color w:val="4A4A4A"/>
          <w:kern w:val="0"/>
          <w:szCs w:val="21"/>
        </w:rPr>
        <w:t>24frame</w:t>
      </w:r>
      <w:r w:rsidRPr="001242DF">
        <w:rPr>
          <w:rFonts w:ascii="宋体" w:eastAsia="宋体" w:hAnsi="宋体" w:cs="宋体" w:hint="eastAsia"/>
          <w:color w:val="4A4A4A"/>
          <w:kern w:val="0"/>
          <w:szCs w:val="21"/>
        </w:rPr>
        <w:t>／</w:t>
      </w:r>
      <w:r w:rsidRPr="001242DF">
        <w:rPr>
          <w:rFonts w:ascii="Times New Roman" w:eastAsia="黑体" w:hAnsi="Times New Roman" w:cs="Times New Roman" w:hint="eastAsia"/>
          <w:color w:val="4A4A4A"/>
          <w:kern w:val="0"/>
          <w:szCs w:val="21"/>
        </w:rPr>
        <w:t>s</w:t>
      </w:r>
      <w:r w:rsidRPr="001242DF">
        <w:rPr>
          <w:rFonts w:ascii="宋体" w:eastAsia="宋体" w:hAnsi="宋体" w:cs="宋体" w:hint="eastAsia"/>
          <w:color w:val="4A4A4A"/>
          <w:kern w:val="0"/>
          <w:szCs w:val="21"/>
        </w:rPr>
        <w:t>，记录保存时间应不少于</w:t>
      </w:r>
      <w:r w:rsidRPr="001242DF">
        <w:rPr>
          <w:rFonts w:ascii="Times New Roman" w:eastAsia="黑体" w:hAnsi="Times New Roman" w:cs="Times New Roman" w:hint="eastAsia"/>
          <w:color w:val="4A4A4A"/>
          <w:kern w:val="0"/>
          <w:szCs w:val="21"/>
        </w:rPr>
        <w:t>10</w:t>
      </w:r>
      <w:r w:rsidRPr="001242DF">
        <w:rPr>
          <w:rFonts w:ascii="宋体" w:eastAsia="宋体" w:hAnsi="宋体" w:cs="宋体" w:hint="eastAsia"/>
          <w:color w:val="4A4A4A"/>
          <w:kern w:val="0"/>
          <w:szCs w:val="21"/>
        </w:rPr>
        <w:t>天。硬盘录像机应符合</w:t>
      </w:r>
      <w:r w:rsidRPr="001242DF">
        <w:rPr>
          <w:rFonts w:ascii="Times New Roman" w:eastAsia="黑体" w:hAnsi="Times New Roman" w:cs="Times New Roman" w:hint="eastAsia"/>
          <w:color w:val="4A4A4A"/>
          <w:kern w:val="0"/>
          <w:szCs w:val="21"/>
        </w:rPr>
        <w:t>DB 31/295</w:t>
      </w:r>
      <w:r w:rsidRPr="001242DF">
        <w:rPr>
          <w:rFonts w:ascii="宋体" w:eastAsia="宋体" w:hAnsi="宋体" w:cs="宋体" w:hint="eastAsia"/>
          <w:color w:val="4A4A4A"/>
          <w:kern w:val="0"/>
          <w:szCs w:val="21"/>
        </w:rPr>
        <w:t>的要求。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4.2.1.9</w:t>
      </w:r>
      <w:r w:rsidRPr="001242DF">
        <w:rPr>
          <w:rFonts w:ascii="宋体" w:eastAsia="宋体" w:hAnsi="宋体" w:cs="宋体" w:hint="eastAsia"/>
          <w:color w:val="4A4A4A"/>
          <w:kern w:val="0"/>
          <w:szCs w:val="21"/>
        </w:rPr>
        <w:t>  系统的其他要求应符合GA/T 367的有关规定。</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4.2.2</w:t>
      </w:r>
      <w:r w:rsidRPr="001242DF">
        <w:rPr>
          <w:rFonts w:ascii="宋体" w:eastAsia="宋体" w:hAnsi="宋体" w:cs="宋体" w:hint="eastAsia"/>
          <w:b/>
          <w:bCs/>
          <w:color w:val="4A4A4A"/>
          <w:kern w:val="0"/>
          <w:szCs w:val="21"/>
        </w:rPr>
        <w:t>  </w:t>
      </w:r>
      <w:r w:rsidRPr="001242DF">
        <w:rPr>
          <w:rFonts w:ascii="黑体" w:eastAsia="黑体" w:hAnsi="黑体" w:cs="宋体" w:hint="eastAsia"/>
          <w:b/>
          <w:bCs/>
          <w:color w:val="4A4A4A"/>
          <w:kern w:val="0"/>
          <w:szCs w:val="21"/>
        </w:rPr>
        <w:t>入侵报警系统</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4.2.2.1</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 系统由各类入侵探测器、紧急报警装置、传输网络、防盗报警控制器（报警控制主机）、告警器等组成。</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4.2.2.2</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周界围墙等封闭屏障处入侵探测器的安装应符合以下要求：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a） </w:t>
      </w:r>
      <w:r w:rsidRPr="001242DF">
        <w:rPr>
          <w:rFonts w:ascii="宋体" w:eastAsia="宋体" w:hAnsi="宋体" w:cs="宋体" w:hint="eastAsia"/>
          <w:color w:val="4A4A4A"/>
          <w:kern w:val="0"/>
          <w:szCs w:val="21"/>
        </w:rPr>
        <w:t> 不应有盲区；</w:t>
      </w:r>
    </w:p>
    <w:p w:rsidR="001242DF" w:rsidRPr="001242DF" w:rsidRDefault="001242DF" w:rsidP="001242DF">
      <w:pPr>
        <w:widowControl/>
        <w:shd w:val="clear" w:color="auto" w:fill="FFFFFF"/>
        <w:spacing w:line="520" w:lineRule="atLeast"/>
        <w:ind w:left="405"/>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b）</w:t>
      </w:r>
      <w:r w:rsidRPr="001242DF">
        <w:rPr>
          <w:rFonts w:ascii="宋体" w:eastAsia="宋体" w:hAnsi="宋体" w:cs="宋体" w:hint="eastAsia"/>
          <w:color w:val="4A4A4A"/>
          <w:kern w:val="0"/>
          <w:szCs w:val="21"/>
        </w:rPr>
        <w:t>  防区划分应有利于报警时准确定位，且应不大于100m；</w:t>
      </w:r>
    </w:p>
    <w:p w:rsidR="001242DF" w:rsidRPr="001242DF" w:rsidRDefault="001242DF" w:rsidP="001242DF">
      <w:pPr>
        <w:widowControl/>
        <w:shd w:val="clear" w:color="auto" w:fill="FFFFFF"/>
        <w:spacing w:line="520" w:lineRule="atLeast"/>
        <w:ind w:left="405"/>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w:t>
      </w:r>
      <w:r w:rsidRPr="001242DF">
        <w:rPr>
          <w:rFonts w:ascii="黑体" w:eastAsia="黑体" w:hAnsi="黑体" w:cs="宋体" w:hint="eastAsia"/>
          <w:b/>
          <w:bCs/>
          <w:color w:val="4A4A4A"/>
          <w:kern w:val="0"/>
          <w:szCs w:val="21"/>
        </w:rPr>
        <w:t xml:space="preserve"> c）</w:t>
      </w:r>
      <w:r w:rsidRPr="001242DF">
        <w:rPr>
          <w:rFonts w:ascii="宋体" w:eastAsia="宋体" w:hAnsi="宋体" w:cs="宋体" w:hint="eastAsia"/>
          <w:color w:val="4A4A4A"/>
          <w:kern w:val="0"/>
          <w:szCs w:val="21"/>
        </w:rPr>
        <w:t>  应24h设防。</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  </w:t>
      </w:r>
      <w:r w:rsidRPr="001242DF">
        <w:rPr>
          <w:rFonts w:ascii="宋体" w:eastAsia="宋体" w:hAnsi="宋体" w:cs="宋体" w:hint="eastAsia"/>
          <w:b/>
          <w:bCs/>
          <w:color w:val="4A4A4A"/>
          <w:kern w:val="0"/>
          <w:szCs w:val="21"/>
        </w:rPr>
        <w:t>d）  </w:t>
      </w:r>
      <w:r w:rsidRPr="001242DF">
        <w:rPr>
          <w:rFonts w:ascii="宋体" w:eastAsia="宋体" w:hAnsi="宋体" w:cs="宋体" w:hint="eastAsia"/>
          <w:color w:val="4A4A4A"/>
          <w:kern w:val="0"/>
          <w:szCs w:val="21"/>
        </w:rPr>
        <w:t>围栏式周界入侵探测器安装应符合以下要求：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（1）</w:t>
      </w:r>
      <w:r w:rsidRPr="001242DF">
        <w:rPr>
          <w:rFonts w:ascii="宋体" w:eastAsia="宋体" w:hAnsi="宋体" w:cs="宋体" w:hint="eastAsia"/>
          <w:color w:val="4A4A4A"/>
          <w:kern w:val="0"/>
          <w:szCs w:val="21"/>
        </w:rPr>
        <w:t>  水平相邻的围栏之间距离应为200 mm±20 mm；</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（2） </w:t>
      </w:r>
      <w:r w:rsidRPr="001242DF">
        <w:rPr>
          <w:rFonts w:ascii="宋体" w:eastAsia="宋体" w:hAnsi="宋体" w:cs="宋体" w:hint="eastAsia"/>
          <w:color w:val="4A4A4A"/>
          <w:kern w:val="0"/>
          <w:szCs w:val="21"/>
        </w:rPr>
        <w:t> 安装在封闭屏障上端时，最上一根围栏与封闭屏障顶端的间距应不小于750mm，最下一根围栏与封闭屏障顶端的间距应为150 mm±20 mm；</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（3）</w:t>
      </w:r>
      <w:r w:rsidRPr="001242DF">
        <w:rPr>
          <w:rFonts w:ascii="宋体" w:eastAsia="宋体" w:hAnsi="宋体" w:cs="宋体" w:hint="eastAsia"/>
          <w:color w:val="4A4A4A"/>
          <w:kern w:val="0"/>
          <w:szCs w:val="21"/>
        </w:rPr>
        <w:t>  围栏的固定支撑竿上段宜以45°±5°向外折角安装，折角段长度应不小于200 mm</w:t>
      </w:r>
      <w:r w:rsidRPr="001242DF">
        <w:rPr>
          <w:rFonts w:ascii="仿宋_gb2312" w:eastAsia="仿宋_gb2312" w:hAnsi="黑体" w:cs="宋体" w:hint="eastAsia"/>
          <w:color w:val="4A4A4A"/>
          <w:kern w:val="0"/>
          <w:szCs w:val="21"/>
        </w:rPr>
        <w:t>；</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（4）</w:t>
      </w:r>
      <w:r w:rsidRPr="001242DF">
        <w:rPr>
          <w:rFonts w:ascii="宋体" w:eastAsia="宋体" w:hAnsi="宋体" w:cs="宋体" w:hint="eastAsia"/>
          <w:color w:val="4A4A4A"/>
          <w:kern w:val="0"/>
          <w:szCs w:val="21"/>
        </w:rPr>
        <w:t>  脉冲电击式围栏上应有明显的警告用安全标志。安全标志的设置应符合GB 2894的要求。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lastRenderedPageBreak/>
        <w:t>     e）  </w:t>
      </w:r>
      <w:r w:rsidRPr="001242DF">
        <w:rPr>
          <w:rFonts w:ascii="宋体" w:eastAsia="宋体" w:hAnsi="宋体" w:cs="宋体" w:hint="eastAsia"/>
          <w:color w:val="4A4A4A"/>
          <w:kern w:val="0"/>
          <w:szCs w:val="21"/>
        </w:rPr>
        <w:t>主动红外入侵探测器安装应符合以下要求：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（1）</w:t>
      </w:r>
      <w:r w:rsidRPr="001242DF">
        <w:rPr>
          <w:rFonts w:ascii="宋体" w:eastAsia="宋体" w:hAnsi="宋体" w:cs="宋体" w:hint="eastAsia"/>
          <w:color w:val="4A4A4A"/>
          <w:kern w:val="0"/>
          <w:szCs w:val="21"/>
        </w:rPr>
        <w:t>  探测距离不应大于制造厂规定探测距离的70%；</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（2） </w:t>
      </w:r>
      <w:r w:rsidRPr="001242DF">
        <w:rPr>
          <w:rFonts w:ascii="宋体" w:eastAsia="宋体" w:hAnsi="宋体" w:cs="宋体" w:hint="eastAsia"/>
          <w:color w:val="4A4A4A"/>
          <w:kern w:val="0"/>
          <w:szCs w:val="21"/>
        </w:rPr>
        <w:t> 应采用交叉安装的方式，即在同一处安装两只指向相反的发射装置或两只指向相反的接收装置，并应使两装置交叉间距不小于300 mm；</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（3）</w:t>
      </w:r>
      <w:r w:rsidRPr="001242DF">
        <w:rPr>
          <w:rFonts w:ascii="宋体" w:eastAsia="宋体" w:hAnsi="宋体" w:cs="宋体" w:hint="eastAsia"/>
          <w:color w:val="4A4A4A"/>
          <w:kern w:val="0"/>
          <w:szCs w:val="21"/>
        </w:rPr>
        <w:t>  安装在封闭屏障上端时，探测器最下一束光轴与封闭屏障顶端的间距宜为150mm±10mm；</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（4）  </w:t>
      </w:r>
      <w:r w:rsidRPr="001242DF">
        <w:rPr>
          <w:rFonts w:ascii="宋体" w:eastAsia="宋体" w:hAnsi="宋体" w:cs="宋体" w:hint="eastAsia"/>
          <w:color w:val="4A4A4A"/>
          <w:kern w:val="0"/>
          <w:szCs w:val="21"/>
        </w:rPr>
        <w:t>安装在封闭屏障侧面时，探测器与封闭屏障的间距应为175mm±25mm，且应安装在封闭屏障外侧；</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（5）  </w:t>
      </w:r>
      <w:r w:rsidRPr="001242DF">
        <w:rPr>
          <w:rFonts w:ascii="宋体" w:eastAsia="宋体" w:hAnsi="宋体" w:cs="宋体" w:hint="eastAsia"/>
          <w:color w:val="4A4A4A"/>
          <w:kern w:val="0"/>
          <w:szCs w:val="21"/>
        </w:rPr>
        <w:t>封闭屏障两侧不应种植高大的树木。已种植树木的，应经常进行修整，确保系统正常运行。</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4.2.2.3  </w:t>
      </w:r>
      <w:r w:rsidRPr="001242DF">
        <w:rPr>
          <w:rFonts w:ascii="宋体" w:eastAsia="宋体" w:hAnsi="宋体" w:cs="宋体" w:hint="eastAsia"/>
          <w:color w:val="4A4A4A"/>
          <w:kern w:val="0"/>
          <w:szCs w:val="21"/>
        </w:rPr>
        <w:t>其他入侵探测器的安装应按产品技术说明书的规定。</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4.2.2.4  </w:t>
      </w:r>
      <w:r w:rsidRPr="001242DF">
        <w:rPr>
          <w:rFonts w:ascii="宋体" w:eastAsia="宋体" w:hAnsi="宋体" w:cs="宋体" w:hint="eastAsia"/>
          <w:color w:val="4A4A4A"/>
          <w:kern w:val="0"/>
          <w:szCs w:val="21"/>
        </w:rPr>
        <w:t>紧急报警装置应安装在隐蔽、便于操作的部位，并应设置为不可撤防模式，有防误触发措施。当被触发报警后应能立即发出紧急报警信号并自锁，复位应采用人工操作方式。</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4.2.2.5 </w:t>
      </w:r>
      <w:r w:rsidRPr="001242DF">
        <w:rPr>
          <w:rFonts w:ascii="宋体" w:eastAsia="宋体" w:hAnsi="宋体" w:cs="宋体" w:hint="eastAsia"/>
          <w:color w:val="4A4A4A"/>
          <w:kern w:val="0"/>
          <w:szCs w:val="21"/>
        </w:rPr>
        <w:t> 采用公共电话网传输报警响应信号的系统，不应在通讯线路上挂接其他通信设施。</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4.2.2.6  </w:t>
      </w:r>
      <w:r w:rsidRPr="001242DF">
        <w:rPr>
          <w:rFonts w:ascii="宋体" w:eastAsia="宋体" w:hAnsi="宋体" w:cs="宋体" w:hint="eastAsia"/>
          <w:color w:val="4A4A4A"/>
          <w:kern w:val="0"/>
          <w:szCs w:val="21"/>
        </w:rPr>
        <w:t>系统的报警响应时间应符合以下要求：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a）  </w:t>
      </w:r>
      <w:r w:rsidRPr="001242DF">
        <w:rPr>
          <w:rFonts w:ascii="宋体" w:eastAsia="宋体" w:hAnsi="宋体" w:cs="宋体" w:hint="eastAsia"/>
          <w:color w:val="4A4A4A"/>
          <w:kern w:val="0"/>
          <w:szCs w:val="21"/>
        </w:rPr>
        <w:t>应不大于2s；</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b）  </w:t>
      </w:r>
      <w:r w:rsidRPr="001242DF">
        <w:rPr>
          <w:rFonts w:ascii="宋体" w:eastAsia="宋体" w:hAnsi="宋体" w:cs="宋体" w:hint="eastAsia"/>
          <w:color w:val="4A4A4A"/>
          <w:kern w:val="0"/>
          <w:szCs w:val="21"/>
        </w:rPr>
        <w:t>采用公共电话网传输的，应不大于20s。</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4.2.2.7 </w:t>
      </w:r>
      <w:r w:rsidRPr="001242DF">
        <w:rPr>
          <w:rFonts w:ascii="宋体" w:eastAsia="宋体" w:hAnsi="宋体" w:cs="宋体" w:hint="eastAsia"/>
          <w:color w:val="4A4A4A"/>
          <w:kern w:val="0"/>
          <w:szCs w:val="21"/>
        </w:rPr>
        <w:t> 系统布防、撤防、报警、故障等信息的存储时间应不少于30天。</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4.2.2.8  </w:t>
      </w:r>
      <w:r w:rsidRPr="001242DF">
        <w:rPr>
          <w:rFonts w:ascii="宋体" w:eastAsia="宋体" w:hAnsi="宋体" w:cs="宋体" w:hint="eastAsia"/>
          <w:color w:val="4A4A4A"/>
          <w:kern w:val="0"/>
          <w:szCs w:val="21"/>
        </w:rPr>
        <w:t>系统的备用电源应满足8h正常工作。</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4.2.2.9  </w:t>
      </w:r>
      <w:r w:rsidRPr="001242DF">
        <w:rPr>
          <w:rFonts w:ascii="宋体" w:eastAsia="宋体" w:hAnsi="宋体" w:cs="宋体" w:hint="eastAsia"/>
          <w:color w:val="4A4A4A"/>
          <w:kern w:val="0"/>
          <w:szCs w:val="21"/>
        </w:rPr>
        <w:t>无人看守的场所入侵报警系统还应符合以下要求：</w:t>
      </w:r>
    </w:p>
    <w:p w:rsidR="001242DF" w:rsidRPr="001242DF" w:rsidRDefault="001242DF" w:rsidP="001242DF">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a）</w:t>
      </w:r>
      <w:r w:rsidRPr="001242DF">
        <w:rPr>
          <w:rFonts w:ascii="宋体" w:eastAsia="宋体" w:hAnsi="宋体" w:cs="宋体" w:hint="eastAsia"/>
          <w:color w:val="4A4A4A"/>
          <w:kern w:val="0"/>
          <w:szCs w:val="21"/>
        </w:rPr>
        <w:t>  入侵报警系统应与区域报警中心或就近的安防控制中心联网；</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b）  </w:t>
      </w:r>
      <w:r w:rsidRPr="001242DF">
        <w:rPr>
          <w:rFonts w:ascii="宋体" w:eastAsia="宋体" w:hAnsi="宋体" w:cs="宋体" w:hint="eastAsia"/>
          <w:color w:val="4A4A4A"/>
          <w:kern w:val="0"/>
          <w:szCs w:val="21"/>
        </w:rPr>
        <w:t>宜安装告警器，其报警声压不小于100dB（A），报警持续时间不小于20min。</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4.2.2.10  </w:t>
      </w:r>
      <w:r w:rsidRPr="001242DF">
        <w:rPr>
          <w:rFonts w:ascii="宋体" w:eastAsia="宋体" w:hAnsi="宋体" w:cs="宋体" w:hint="eastAsia"/>
          <w:color w:val="4A4A4A"/>
          <w:kern w:val="0"/>
          <w:szCs w:val="21"/>
        </w:rPr>
        <w:t>入侵探测器其他技术要求应符合GB 10408.1、GB 10408.3、GB 10408.4 、GB 10408.5、GB 10408.6、GB 15209的要求。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lastRenderedPageBreak/>
        <w:t>4.2.2.11 </w:t>
      </w:r>
      <w:r w:rsidRPr="001242DF">
        <w:rPr>
          <w:rFonts w:ascii="宋体" w:eastAsia="宋体" w:hAnsi="宋体" w:cs="宋体" w:hint="eastAsia"/>
          <w:color w:val="4A4A4A"/>
          <w:kern w:val="0"/>
          <w:szCs w:val="21"/>
        </w:rPr>
        <w:t> 防盗报警控制器应符合GB 12663的要求。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4.2.2.12</w:t>
      </w:r>
      <w:r w:rsidRPr="001242DF">
        <w:rPr>
          <w:rFonts w:ascii="宋体" w:eastAsia="宋体" w:hAnsi="宋体" w:cs="宋体" w:hint="eastAsia"/>
          <w:color w:val="4A4A4A"/>
          <w:kern w:val="0"/>
          <w:szCs w:val="21"/>
        </w:rPr>
        <w:t>  系统的其他技术要求应符合GA/T 368的要求。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4.2.3</w:t>
      </w:r>
      <w:r w:rsidRPr="001242DF">
        <w:rPr>
          <w:rFonts w:ascii="宋体" w:eastAsia="宋体" w:hAnsi="宋体" w:cs="宋体" w:hint="eastAsia"/>
          <w:b/>
          <w:bCs/>
          <w:color w:val="4A4A4A"/>
          <w:kern w:val="0"/>
          <w:szCs w:val="21"/>
        </w:rPr>
        <w:t>  </w:t>
      </w:r>
      <w:r w:rsidRPr="001242DF">
        <w:rPr>
          <w:rFonts w:ascii="黑体" w:eastAsia="黑体" w:hAnsi="黑体" w:cs="宋体" w:hint="eastAsia"/>
          <w:b/>
          <w:bCs/>
          <w:color w:val="4A4A4A"/>
          <w:kern w:val="0"/>
          <w:szCs w:val="21"/>
        </w:rPr>
        <w:t>出入口控制系统</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4.2.3.1</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识读式出入口控制系统由识读（显示）装置、传输网络、管理控制器、记录设备、执行机构等组成；楼寓对讲系统由主机、若干分机、电源箱、传输线等组成。</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4.2.3.2</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识读式系统的各类识别装置、执行机构应保证操作的有效性和可靠性，应有防尾随措施。对非法进入的行为，应发出报警信号，同时系统应满足紧急逃生时人员疏散的相关要求。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4.2.3.3</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识读式系统应具有人员的出入时间、地点、顺序等数据设置、显示、记录、查询和打印等功能，时间误差应在±10s以内，并有防篡改、防销毁等措施。</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4.2.3.4</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系统的各类识读装置、对讲装置的安装高度宜离地1.5 m±0.1m。</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4.2.3.5</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系统其他要求应符合GA/T 72、GA/T 269、GA/T 394的规定。</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4.2.4</w:t>
      </w:r>
      <w:r w:rsidRPr="001242DF">
        <w:rPr>
          <w:rFonts w:ascii="宋体" w:eastAsia="宋体" w:hAnsi="宋体" w:cs="宋体" w:hint="eastAsia"/>
          <w:b/>
          <w:bCs/>
          <w:color w:val="4A4A4A"/>
          <w:kern w:val="0"/>
          <w:szCs w:val="21"/>
        </w:rPr>
        <w:t>  </w:t>
      </w:r>
      <w:r w:rsidRPr="001242DF">
        <w:rPr>
          <w:rFonts w:ascii="黑体" w:eastAsia="黑体" w:hAnsi="黑体" w:cs="宋体" w:hint="eastAsia"/>
          <w:b/>
          <w:bCs/>
          <w:color w:val="4A4A4A"/>
          <w:kern w:val="0"/>
          <w:szCs w:val="21"/>
        </w:rPr>
        <w:t>来电显示和电话记录系统</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4.2.4.1</w:t>
      </w:r>
      <w:r w:rsidRPr="001242DF">
        <w:rPr>
          <w:rFonts w:ascii="宋体" w:eastAsia="宋体" w:hAnsi="宋体" w:cs="宋体" w:hint="eastAsia"/>
          <w:color w:val="4A4A4A"/>
          <w:kern w:val="0"/>
          <w:szCs w:val="21"/>
        </w:rPr>
        <w:t>  来电号码显示应清晰。</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4.2.4.2</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来电通话记录回放应清晰可辨，保存时间应不少于7天。</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4.2.5</w:t>
      </w:r>
      <w:r w:rsidRPr="001242DF">
        <w:rPr>
          <w:rFonts w:ascii="宋体" w:eastAsia="宋体" w:hAnsi="宋体" w:cs="宋体" w:hint="eastAsia"/>
          <w:b/>
          <w:bCs/>
          <w:color w:val="4A4A4A"/>
          <w:kern w:val="0"/>
          <w:szCs w:val="21"/>
        </w:rPr>
        <w:t>  </w:t>
      </w:r>
      <w:r w:rsidRPr="001242DF">
        <w:rPr>
          <w:rFonts w:ascii="黑体" w:eastAsia="黑体" w:hAnsi="黑体" w:cs="宋体" w:hint="eastAsia"/>
          <w:b/>
          <w:bCs/>
          <w:color w:val="4A4A4A"/>
          <w:kern w:val="0"/>
          <w:szCs w:val="21"/>
        </w:rPr>
        <w:t>电子巡查系统</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4.2.5.1</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 系统主要由信息标识、数据采集器、数据转换传输装置及管理软件等组成。</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4.2.5.2</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系统信息采集点（巡查点）装置安装离地高度为1.4 m±0.1m。</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4.2.5.3</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系统设置应符合以下要求：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a） </w:t>
      </w:r>
      <w:r w:rsidRPr="001242DF">
        <w:rPr>
          <w:rFonts w:ascii="宋体" w:eastAsia="宋体" w:hAnsi="宋体" w:cs="宋体" w:hint="eastAsia"/>
          <w:color w:val="4A4A4A"/>
          <w:kern w:val="0"/>
          <w:szCs w:val="21"/>
        </w:rPr>
        <w:t> 在重要部位及巡查路线上安装巡查点，安装应牢固、隐蔽；</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b）</w:t>
      </w:r>
      <w:r w:rsidRPr="001242DF">
        <w:rPr>
          <w:rFonts w:ascii="宋体" w:eastAsia="宋体" w:hAnsi="宋体" w:cs="宋体" w:hint="eastAsia"/>
          <w:color w:val="4A4A4A"/>
          <w:kern w:val="0"/>
          <w:szCs w:val="21"/>
        </w:rPr>
        <w:t>  在授权情况下应能对巡查路线、时间、巡查点进行设定和调整；</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c） </w:t>
      </w:r>
      <w:r w:rsidRPr="001242DF">
        <w:rPr>
          <w:rFonts w:ascii="宋体" w:eastAsia="宋体" w:hAnsi="宋体" w:cs="宋体" w:hint="eastAsia"/>
          <w:color w:val="4A4A4A"/>
          <w:kern w:val="0"/>
          <w:szCs w:val="21"/>
        </w:rPr>
        <w:t> 中心控制室应能查阅、打印各巡查人员的到位时间，应具有对巡查时间、地点、人员和顺序等数据的显示、存储、查询和打印等功能；</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宋体" w:eastAsia="宋体" w:hAnsi="宋体" w:cs="宋体" w:hint="eastAsia"/>
          <w:b/>
          <w:bCs/>
          <w:color w:val="4A4A4A"/>
          <w:kern w:val="0"/>
          <w:szCs w:val="21"/>
        </w:rPr>
        <w:t>    d）  </w:t>
      </w:r>
      <w:r w:rsidRPr="001242DF">
        <w:rPr>
          <w:rFonts w:ascii="宋体" w:eastAsia="宋体" w:hAnsi="宋体" w:cs="宋体" w:hint="eastAsia"/>
          <w:color w:val="4A4A4A"/>
          <w:kern w:val="0"/>
          <w:szCs w:val="21"/>
        </w:rPr>
        <w:t>巡查违规记录提示。</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4.2.6</w:t>
      </w:r>
      <w:r w:rsidRPr="001242DF">
        <w:rPr>
          <w:rFonts w:ascii="宋体" w:eastAsia="宋体" w:hAnsi="宋体" w:cs="宋体" w:hint="eastAsia"/>
          <w:b/>
          <w:bCs/>
          <w:color w:val="4A4A4A"/>
          <w:kern w:val="0"/>
          <w:szCs w:val="21"/>
        </w:rPr>
        <w:t>  </w:t>
      </w:r>
      <w:r w:rsidRPr="001242DF">
        <w:rPr>
          <w:rFonts w:ascii="黑体" w:eastAsia="黑体" w:hAnsi="黑体" w:cs="宋体" w:hint="eastAsia"/>
          <w:b/>
          <w:bCs/>
          <w:color w:val="4A4A4A"/>
          <w:kern w:val="0"/>
          <w:szCs w:val="21"/>
        </w:rPr>
        <w:t>安防中心控制室</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lastRenderedPageBreak/>
        <w:t>4.2.6.1</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视频安防监控、入侵报警（紧急报警）、电子巡查的终端设备均应设置在安防中心控制室，能实现对各子系统的操作、记录和打印。</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4.2.6.2</w:t>
      </w:r>
      <w:r w:rsidRPr="001242DF">
        <w:rPr>
          <w:rFonts w:ascii="宋体" w:eastAsia="宋体" w:hAnsi="宋体" w:cs="宋体" w:hint="eastAsia"/>
          <w:color w:val="4A4A4A"/>
          <w:kern w:val="0"/>
          <w:szCs w:val="21"/>
        </w:rPr>
        <w:t>  安防中心控制室应安装紧急报警装置，并通过防盗报警器和专线与区域报警中心联网。</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4.2.6.3</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安装周界报警系统的，安防中心控制室应配置与报警同步的终端图形显示装置，应能准确地识别报警区域，实时显示发生警情的区域。</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4.2.6.4</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 安防中心控制室应配备有线、无线专用通讯工具和专用防护器械。</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4.2.6.5</w:t>
      </w:r>
      <w:r w:rsidRPr="001242DF">
        <w:rPr>
          <w:rFonts w:ascii="宋体" w:eastAsia="宋体" w:hAnsi="宋体" w:cs="宋体" w:hint="eastAsia"/>
          <w:color w:val="4A4A4A"/>
          <w:kern w:val="0"/>
          <w:szCs w:val="21"/>
        </w:rPr>
        <w:t>  安防中心控制室可单独设置，也可设置在符合规定的其它场所。</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4.2.7</w:t>
      </w:r>
      <w:r w:rsidRPr="001242DF">
        <w:rPr>
          <w:rFonts w:ascii="宋体" w:eastAsia="宋体" w:hAnsi="宋体" w:cs="宋体" w:hint="eastAsia"/>
          <w:b/>
          <w:bCs/>
          <w:color w:val="4A4A4A"/>
          <w:kern w:val="0"/>
          <w:szCs w:val="21"/>
        </w:rPr>
        <w:t>  </w:t>
      </w:r>
      <w:r w:rsidRPr="001242DF">
        <w:rPr>
          <w:rFonts w:ascii="黑体" w:eastAsia="黑体" w:hAnsi="黑体" w:cs="宋体" w:hint="eastAsia"/>
          <w:b/>
          <w:bCs/>
          <w:color w:val="4A4A4A"/>
          <w:kern w:val="0"/>
          <w:szCs w:val="21"/>
        </w:rPr>
        <w:t>实体防护装置</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4.2.7.1</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 金属框玻璃防暴门的金属框材料厚度应不小于2mm，宽度应不小于40mm。采用夹贴防暴膜玻璃的，夹贴防暴膜玻璃的总厚度应不小于16mm；采用防弹玻璃的应符合GB 17840；采用防弹复合玻璃的应符合GA 165的要求。玻璃镶嵌入金属框的深度不小于玻璃的总厚度。金属框玻璃防暴门的锁具、门框及安装应符合GB 17565的要求。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4.2.7.2</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防盗栅栏应采用单根直径不小于φ20mm、壁厚不小于2mm的钢管（或单根直径不小于φ16mm的钢棒、单根横截面应不小于8mmX20mm的钢板）组合制做。用于窗的防护时，单个栅栏空间最大面积应不大于600mmX100mm；用于厂（站）周边的实体周界封闭时，栅栏高度不应低于2.2m，栅栏的竖杆间距不应大于150mm，且不易攀爬。防盗栅栏应采用不小于12mm的膨胀螺丝固定，安装应牢固可靠。</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4.2.7.3</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防盗安全门及安装应符合GB 17565的要求。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5</w:t>
      </w:r>
      <w:r w:rsidRPr="001242DF">
        <w:rPr>
          <w:rFonts w:ascii="宋体" w:eastAsia="宋体" w:hAnsi="宋体" w:cs="宋体" w:hint="eastAsia"/>
          <w:b/>
          <w:bCs/>
          <w:color w:val="4A4A4A"/>
          <w:kern w:val="0"/>
          <w:szCs w:val="21"/>
        </w:rPr>
        <w:t>  </w:t>
      </w:r>
      <w:r w:rsidRPr="001242DF">
        <w:rPr>
          <w:rFonts w:ascii="黑体" w:eastAsia="黑体" w:hAnsi="黑体" w:cs="宋体" w:hint="eastAsia"/>
          <w:b/>
          <w:bCs/>
          <w:color w:val="4A4A4A"/>
          <w:kern w:val="0"/>
          <w:szCs w:val="21"/>
        </w:rPr>
        <w:t>检验、验收、维护</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5.1</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安全技术防范系统竣工后应进行检验。系统检验应符合GB 50348的要求。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5.2</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 安全技术防范系统验收应符合本标准第4章和GB 50348、GA 308的要求。</w:t>
      </w:r>
    </w:p>
    <w:p w:rsidR="001242DF" w:rsidRPr="001242DF" w:rsidRDefault="001242DF" w:rsidP="001242DF">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242DF">
        <w:rPr>
          <w:rFonts w:ascii="黑体" w:eastAsia="黑体" w:hAnsi="黑体" w:cs="宋体" w:hint="eastAsia"/>
          <w:b/>
          <w:bCs/>
          <w:color w:val="4A4A4A"/>
          <w:kern w:val="0"/>
          <w:szCs w:val="21"/>
        </w:rPr>
        <w:t>5.3</w:t>
      </w:r>
      <w:r w:rsidRPr="001242DF">
        <w:rPr>
          <w:rFonts w:ascii="宋体" w:eastAsia="宋体" w:hAnsi="宋体" w:cs="宋体" w:hint="eastAsia"/>
          <w:b/>
          <w:bCs/>
          <w:color w:val="4A4A4A"/>
          <w:kern w:val="0"/>
          <w:szCs w:val="21"/>
        </w:rPr>
        <w:t> </w:t>
      </w:r>
      <w:r w:rsidRPr="001242DF">
        <w:rPr>
          <w:rFonts w:ascii="宋体" w:eastAsia="宋体" w:hAnsi="宋体" w:cs="宋体" w:hint="eastAsia"/>
          <w:color w:val="4A4A4A"/>
          <w:kern w:val="0"/>
          <w:szCs w:val="21"/>
        </w:rPr>
        <w:t> 安全技术防范系统应保持良好的运行状态，定期进行设备的检测、维护、保养。系统出现故障后，应及时修复。</w:t>
      </w:r>
    </w:p>
    <w:p w:rsidR="001242DF" w:rsidRPr="001242DF" w:rsidRDefault="001242DF" w:rsidP="001242DF">
      <w:pPr>
        <w:jc w:val="center"/>
        <w:rPr>
          <w:rFonts w:hint="eastAsia"/>
        </w:rPr>
      </w:pPr>
      <w:bookmarkStart w:id="0" w:name="_GoBack"/>
      <w:bookmarkEnd w:id="0"/>
    </w:p>
    <w:sectPr w:rsidR="001242DF" w:rsidRPr="00124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rif’">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2DF"/>
    <w:rsid w:val="001242DF"/>
    <w:rsid w:val="00651FDD"/>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42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4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8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949</Words>
  <Characters>5411</Characters>
  <Application>Microsoft Office Word</Application>
  <DocSecurity>0</DocSecurity>
  <Lines>45</Lines>
  <Paragraphs>12</Paragraphs>
  <ScaleCrop>false</ScaleCrop>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2016-03-22T02:00:00Z</dcterms:created>
  <dcterms:modified xsi:type="dcterms:W3CDTF">2016-03-22T02:01:00Z</dcterms:modified>
</cp:coreProperties>
</file>