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874589" w:rsidP="00874589">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枪支弹药生产、经销、存放、射击场所</w:t>
      </w:r>
    </w:p>
    <w:p w:rsidR="00874589" w:rsidRPr="00874589" w:rsidRDefault="00874589" w:rsidP="00874589">
      <w:pPr>
        <w:widowControl/>
        <w:shd w:val="clear" w:color="auto" w:fill="FFFFFF"/>
        <w:spacing w:line="400" w:lineRule="atLeast"/>
        <w:jc w:val="left"/>
        <w:rPr>
          <w:rFonts w:ascii="微软雅黑" w:eastAsia="微软雅黑" w:hAnsi="微软雅黑" w:cs="宋体"/>
          <w:color w:val="4A4A4A"/>
          <w:kern w:val="0"/>
          <w:sz w:val="18"/>
          <w:szCs w:val="18"/>
        </w:rPr>
      </w:pPr>
      <w:r w:rsidRPr="00874589">
        <w:rPr>
          <w:rFonts w:ascii="黑体" w:eastAsia="黑体" w:hAnsi="黑体" w:cs="宋体" w:hint="eastAsia"/>
          <w:b/>
          <w:bCs/>
          <w:color w:val="000000"/>
          <w:kern w:val="0"/>
          <w:szCs w:val="21"/>
        </w:rPr>
        <w:t>1</w:t>
      </w:r>
      <w:r w:rsidRPr="00874589">
        <w:rPr>
          <w:rFonts w:ascii="黑体" w:eastAsia="黑体" w:hAnsi="黑体" w:cs="宋体" w:hint="eastAsia"/>
          <w:b/>
          <w:bCs/>
          <w:color w:val="000000"/>
          <w:kern w:val="0"/>
          <w:sz w:val="18"/>
          <w:szCs w:val="18"/>
        </w:rPr>
        <w:t>范围</w:t>
      </w:r>
    </w:p>
    <w:p w:rsidR="00874589" w:rsidRPr="00874589" w:rsidRDefault="00874589" w:rsidP="0087458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本标准规定了本市</w:t>
      </w:r>
      <w:r w:rsidRPr="00874589">
        <w:rPr>
          <w:rFonts w:ascii="宋体" w:eastAsia="宋体" w:hAnsi="宋体" w:cs="宋体" w:hint="eastAsia"/>
          <w:color w:val="000000"/>
          <w:kern w:val="0"/>
          <w:sz w:val="18"/>
          <w:szCs w:val="18"/>
        </w:rPr>
        <w:t>枪支弹药生产、经销、存放、射击场所安全技术防范系统设计、施工、检验、验收和维护的要求。</w:t>
      </w:r>
    </w:p>
    <w:p w:rsidR="00874589" w:rsidRPr="00874589" w:rsidRDefault="00874589" w:rsidP="0087458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本标准适用于本市</w:t>
      </w:r>
      <w:r w:rsidRPr="00874589">
        <w:rPr>
          <w:rFonts w:ascii="宋体" w:eastAsia="宋体" w:hAnsi="宋体" w:cs="宋体" w:hint="eastAsia"/>
          <w:color w:val="000000"/>
          <w:kern w:val="0"/>
          <w:sz w:val="20"/>
          <w:szCs w:val="20"/>
        </w:rPr>
        <w:t>行政区域内依照</w:t>
      </w:r>
      <w:r w:rsidRPr="00874589">
        <w:rPr>
          <w:rFonts w:ascii="宋体" w:eastAsia="宋体" w:hAnsi="宋体" w:cs="宋体" w:hint="eastAsia"/>
          <w:color w:val="000000"/>
          <w:kern w:val="0"/>
          <w:sz w:val="18"/>
          <w:szCs w:val="18"/>
        </w:rPr>
        <w:t>《中华人民共和国枪支管理法》等法律、法规规定的各民用枪支弹药生产、经销、存放、射击场所。</w:t>
      </w:r>
    </w:p>
    <w:p w:rsidR="00874589" w:rsidRPr="00874589" w:rsidRDefault="00874589" w:rsidP="0087458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展览、演出道具用的仿制枪支存放场所参照本标准执行。</w:t>
      </w:r>
    </w:p>
    <w:p w:rsidR="00874589" w:rsidRPr="00874589" w:rsidRDefault="00874589" w:rsidP="0087458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中国人民解放军、中国人民武装警察、民兵和预备役部队的枪支弹药</w:t>
      </w:r>
      <w:r w:rsidRPr="00874589">
        <w:rPr>
          <w:rFonts w:ascii="宋体" w:eastAsia="宋体" w:hAnsi="宋体" w:cs="宋体" w:hint="eastAsia"/>
          <w:color w:val="000000"/>
          <w:kern w:val="0"/>
          <w:sz w:val="18"/>
          <w:szCs w:val="18"/>
        </w:rPr>
        <w:t>生产、经销、存放、射击场所的安全防范不适用于本标准。</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2</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规范性引用文件</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 w:val="18"/>
          <w:szCs w:val="18"/>
        </w:rPr>
        <w:t>下列文件的条款通过本标准的引用而成为本标准的条款。凡是注日期的引用文件，其随后所有的修改单（不包括勘误的内容）或修订版均不适用于本标准，然而，鼓励根据本标准达成协议的各方研究是否使用这些文件的最新版本。凡是不注日期的引用文件，其最新版本适用于本标准。</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10409  </w:t>
      </w:r>
      <w:r w:rsidRPr="00874589">
        <w:rPr>
          <w:rFonts w:ascii="宋体" w:eastAsia="宋体" w:hAnsi="宋体" w:cs="宋体" w:hint="eastAsia"/>
          <w:color w:val="000000"/>
          <w:kern w:val="0"/>
          <w:sz w:val="18"/>
          <w:szCs w:val="18"/>
        </w:rPr>
        <w:t>防盗保险柜</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12663  </w:t>
      </w:r>
      <w:r w:rsidRPr="00874589">
        <w:rPr>
          <w:rFonts w:ascii="宋体" w:eastAsia="宋体" w:hAnsi="宋体" w:cs="宋体" w:hint="eastAsia"/>
          <w:color w:val="000000"/>
          <w:kern w:val="0"/>
          <w:sz w:val="18"/>
          <w:szCs w:val="18"/>
        </w:rPr>
        <w:t>防盗报警控制器通用技术条件</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15208  </w:t>
      </w:r>
      <w:r w:rsidRPr="00874589">
        <w:rPr>
          <w:rFonts w:ascii="宋体" w:eastAsia="宋体" w:hAnsi="宋体" w:cs="宋体" w:hint="eastAsia"/>
          <w:color w:val="000000"/>
          <w:kern w:val="0"/>
          <w:sz w:val="18"/>
          <w:szCs w:val="18"/>
        </w:rPr>
        <w:t>微剂量X射线安全检查设备</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15210  </w:t>
      </w:r>
      <w:r w:rsidRPr="00874589">
        <w:rPr>
          <w:rFonts w:ascii="宋体" w:eastAsia="宋体" w:hAnsi="宋体" w:cs="宋体" w:hint="eastAsia"/>
          <w:color w:val="000000"/>
          <w:kern w:val="0"/>
          <w:sz w:val="18"/>
          <w:szCs w:val="18"/>
        </w:rPr>
        <w:t>通过式金属探测门通用技术条件</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20815  </w:t>
      </w:r>
      <w:r w:rsidRPr="00874589">
        <w:rPr>
          <w:rFonts w:ascii="宋体" w:eastAsia="宋体" w:hAnsi="宋体" w:cs="宋体" w:hint="eastAsia"/>
          <w:color w:val="000000"/>
          <w:kern w:val="0"/>
          <w:sz w:val="18"/>
          <w:szCs w:val="18"/>
        </w:rPr>
        <w:t>视频安防监控数字录像设备</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50198-1994 </w:t>
      </w:r>
      <w:r w:rsidRPr="00874589">
        <w:rPr>
          <w:rFonts w:ascii="宋体" w:eastAsia="宋体" w:hAnsi="宋体" w:cs="宋体" w:hint="eastAsia"/>
          <w:color w:val="000000"/>
          <w:spacing w:val="18"/>
          <w:kern w:val="0"/>
          <w:szCs w:val="21"/>
        </w:rPr>
        <w:t> </w:t>
      </w:r>
      <w:r w:rsidRPr="00874589">
        <w:rPr>
          <w:rFonts w:ascii="宋体" w:eastAsia="宋体" w:hAnsi="宋体" w:cs="宋体" w:hint="eastAsia"/>
          <w:color w:val="000000"/>
          <w:spacing w:val="-12"/>
          <w:kern w:val="0"/>
          <w:sz w:val="18"/>
          <w:szCs w:val="18"/>
        </w:rPr>
        <w:t>民用闭路监视电视系统工程技术规范</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50348-2004  </w:t>
      </w:r>
      <w:r w:rsidRPr="00874589">
        <w:rPr>
          <w:rFonts w:ascii="宋体" w:eastAsia="宋体" w:hAnsi="宋体" w:cs="宋体" w:hint="eastAsia"/>
          <w:color w:val="000000"/>
          <w:kern w:val="0"/>
          <w:sz w:val="18"/>
          <w:szCs w:val="18"/>
        </w:rPr>
        <w:t>安全防范工程技术规范</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50394  </w:t>
      </w:r>
      <w:r w:rsidRPr="00874589">
        <w:rPr>
          <w:rFonts w:ascii="宋体" w:eastAsia="宋体" w:hAnsi="宋体" w:cs="宋体" w:hint="eastAsia"/>
          <w:color w:val="000000"/>
          <w:kern w:val="0"/>
          <w:sz w:val="18"/>
          <w:szCs w:val="18"/>
        </w:rPr>
        <w:t>入侵报警系统工程设计规范</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50395  </w:t>
      </w:r>
      <w:r w:rsidRPr="00874589">
        <w:rPr>
          <w:rFonts w:ascii="宋体" w:eastAsia="宋体" w:hAnsi="宋体" w:cs="宋体" w:hint="eastAsia"/>
          <w:color w:val="000000"/>
          <w:kern w:val="0"/>
          <w:sz w:val="18"/>
          <w:szCs w:val="18"/>
        </w:rPr>
        <w:t>视频安防监控系统工程设计规范</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GB 50396  </w:t>
      </w:r>
      <w:r w:rsidRPr="00874589">
        <w:rPr>
          <w:rFonts w:ascii="宋体" w:eastAsia="宋体" w:hAnsi="宋体" w:cs="宋体" w:hint="eastAsia"/>
          <w:color w:val="000000"/>
          <w:kern w:val="0"/>
          <w:sz w:val="18"/>
          <w:szCs w:val="18"/>
        </w:rPr>
        <w:t>出入口控制系统工程设计规范</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GA/T 75  </w:t>
      </w:r>
      <w:r w:rsidRPr="00874589">
        <w:rPr>
          <w:rFonts w:ascii="宋体" w:eastAsia="宋体" w:hAnsi="宋体" w:cs="宋体" w:hint="eastAsia"/>
          <w:color w:val="000000"/>
          <w:kern w:val="0"/>
          <w:sz w:val="18"/>
          <w:szCs w:val="18"/>
        </w:rPr>
        <w:t>安全防范工程程序与要求</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GA 308  </w:t>
      </w:r>
      <w:r w:rsidRPr="00874589">
        <w:rPr>
          <w:rFonts w:ascii="宋体" w:eastAsia="宋体" w:hAnsi="宋体" w:cs="宋体" w:hint="eastAsia"/>
          <w:color w:val="000000"/>
          <w:kern w:val="0"/>
          <w:sz w:val="18"/>
          <w:szCs w:val="18"/>
        </w:rPr>
        <w:t>安全防范系统验收规则</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GA/T 644  </w:t>
      </w:r>
      <w:r w:rsidRPr="00874589">
        <w:rPr>
          <w:rFonts w:ascii="宋体" w:eastAsia="宋体" w:hAnsi="宋体" w:cs="宋体" w:hint="eastAsia"/>
          <w:color w:val="000000"/>
          <w:kern w:val="0"/>
          <w:sz w:val="18"/>
          <w:szCs w:val="18"/>
        </w:rPr>
        <w:t>电子巡查系统技术要求</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JR-T0003  </w:t>
      </w:r>
      <w:r w:rsidRPr="00874589">
        <w:rPr>
          <w:rFonts w:ascii="宋体" w:eastAsia="宋体" w:hAnsi="宋体" w:cs="宋体" w:hint="eastAsia"/>
          <w:color w:val="000000"/>
          <w:kern w:val="0"/>
          <w:sz w:val="18"/>
          <w:szCs w:val="18"/>
        </w:rPr>
        <w:t>银行金库</w:t>
      </w:r>
    </w:p>
    <w:p w:rsidR="00874589" w:rsidRPr="00874589" w:rsidRDefault="00874589" w:rsidP="00874589">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DB 31/321    </w:t>
      </w:r>
      <w:r w:rsidRPr="00874589">
        <w:rPr>
          <w:rFonts w:ascii="宋体" w:eastAsia="宋体" w:hAnsi="宋体" w:cs="宋体" w:hint="eastAsia"/>
          <w:color w:val="000000"/>
          <w:kern w:val="0"/>
          <w:sz w:val="18"/>
          <w:szCs w:val="18"/>
        </w:rPr>
        <w:t>防盗防火安全门通用技术条件</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3</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术语和定义</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3.1</w:t>
      </w:r>
    </w:p>
    <w:p w:rsidR="00874589" w:rsidRPr="00874589" w:rsidRDefault="00874589" w:rsidP="0087458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枪支</w:t>
      </w:r>
    </w:p>
    <w:p w:rsidR="00874589" w:rsidRPr="00874589" w:rsidRDefault="00874589" w:rsidP="0087458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以火药或者压缩气体为动力，利用管状器具发射金属弹丸或者其他物质，足以致人伤亡或者丧失知觉的各种</w:t>
      </w:r>
      <w:r w:rsidRPr="00874589">
        <w:rPr>
          <w:rFonts w:ascii="宋体" w:eastAsia="宋体" w:hAnsi="宋体" w:cs="宋体" w:hint="eastAsia"/>
          <w:color w:val="000000"/>
          <w:kern w:val="0"/>
          <w:sz w:val="18"/>
          <w:szCs w:val="18"/>
        </w:rPr>
        <w:t>装置、器具（包括零部件及仿真装置）的统称。</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3.2</w:t>
      </w:r>
    </w:p>
    <w:p w:rsidR="00874589" w:rsidRPr="00874589" w:rsidRDefault="00874589" w:rsidP="00874589">
      <w:pPr>
        <w:widowControl/>
        <w:shd w:val="clear" w:color="auto" w:fill="FFFFFF"/>
        <w:spacing w:line="400" w:lineRule="atLeast"/>
        <w:ind w:firstLine="413"/>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lastRenderedPageBreak/>
        <w:t>弹药</w:t>
      </w:r>
    </w:p>
    <w:p w:rsidR="00874589" w:rsidRPr="00874589" w:rsidRDefault="00874589" w:rsidP="0087458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指枪支所用的整发子弹（包括弹壳、底火、发射药、弹头）或枪支发射的抛射物。</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3.3</w:t>
      </w:r>
    </w:p>
    <w:p w:rsidR="00874589" w:rsidRPr="00874589" w:rsidRDefault="00874589" w:rsidP="00874589">
      <w:pPr>
        <w:widowControl/>
        <w:shd w:val="clear" w:color="auto" w:fill="FFFFFF"/>
        <w:spacing w:line="400" w:lineRule="atLeast"/>
        <w:ind w:firstLine="413"/>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射击场所</w:t>
      </w:r>
    </w:p>
    <w:p w:rsidR="00874589" w:rsidRPr="00874589" w:rsidRDefault="00874589" w:rsidP="00874589">
      <w:pPr>
        <w:widowControl/>
        <w:shd w:val="clear" w:color="auto" w:fill="FFFFFF"/>
        <w:spacing w:line="400" w:lineRule="atLeast"/>
        <w:ind w:firstLine="412"/>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指的训练、比赛、健身休闲等射击活动的场所。</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3.4</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 w:val="18"/>
          <w:szCs w:val="18"/>
        </w:rPr>
        <w:t>存放场所</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 w:val="18"/>
          <w:szCs w:val="18"/>
        </w:rPr>
        <w:t>指储存枪支弹药的库房和设施的总称。</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4</w:t>
      </w:r>
      <w:r w:rsidRPr="00874589">
        <w:rPr>
          <w:rFonts w:ascii="宋体" w:eastAsia="宋体" w:hAnsi="宋体" w:cs="宋体" w:hint="eastAsia"/>
          <w:b/>
          <w:bCs/>
          <w:color w:val="000000"/>
          <w:kern w:val="0"/>
          <w:sz w:val="18"/>
          <w:szCs w:val="18"/>
        </w:rPr>
        <w:t>  </w:t>
      </w:r>
      <w:r w:rsidRPr="00874589">
        <w:rPr>
          <w:rFonts w:ascii="黑体" w:eastAsia="黑体" w:hAnsi="黑体" w:cs="宋体" w:hint="eastAsia"/>
          <w:b/>
          <w:bCs/>
          <w:color w:val="000000"/>
          <w:kern w:val="0"/>
          <w:sz w:val="18"/>
          <w:szCs w:val="18"/>
        </w:rPr>
        <w:t>系统要求总体配置要求</w:t>
      </w:r>
    </w:p>
    <w:p w:rsidR="00874589" w:rsidRPr="00874589" w:rsidRDefault="00874589" w:rsidP="00874589">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4.1</w:t>
      </w:r>
      <w:r w:rsidRPr="00874589">
        <w:rPr>
          <w:rFonts w:ascii="宋体" w:eastAsia="宋体" w:hAnsi="宋体" w:cs="宋体" w:hint="eastAsia"/>
          <w:color w:val="000000"/>
          <w:kern w:val="0"/>
          <w:sz w:val="18"/>
          <w:szCs w:val="18"/>
        </w:rPr>
        <w:t>  安全技术防范系统中使用的设备和产品应符合国家法律法规和现行强制性标准的要求，并通过相应CCC认证、生产登记批准、型式检验合格。</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4.2</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安全技术防范系统的设计原则应符合GB 50348的规定。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4.3</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安全技术防范系统的设计、施工程序应符合GA/T 75的规定。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4.4</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枪支弹药生产、经销、存放、射击场所的重要部位的安全技术防范系统建设应根据表1的要求配置。</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4.5</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枪支弹药生产、经销、存放、射击场所的安全技术防范系统建设应纳入工程建设的总体规划，并应综合设计、同步施工、独立验收、同时交付使用。</w:t>
      </w:r>
    </w:p>
    <w:p w:rsidR="00874589" w:rsidRPr="00874589" w:rsidRDefault="00874589" w:rsidP="00874589">
      <w:pPr>
        <w:widowControl/>
        <w:shd w:val="clear" w:color="auto" w:fill="FFFFFF"/>
        <w:spacing w:line="400" w:lineRule="atLeast"/>
        <w:jc w:val="center"/>
        <w:rPr>
          <w:rFonts w:ascii="微软雅黑" w:eastAsia="微软雅黑" w:hAnsi="微软雅黑" w:cs="宋体" w:hint="eastAsia"/>
          <w:color w:val="4A4A4A"/>
          <w:kern w:val="0"/>
          <w:sz w:val="18"/>
          <w:szCs w:val="18"/>
        </w:rPr>
      </w:pPr>
      <w:r w:rsidRPr="00874589">
        <w:rPr>
          <w:rFonts w:ascii="黑体" w:eastAsia="黑体" w:hAnsi="黑体" w:cs="宋体" w:hint="eastAsia"/>
          <w:color w:val="000000"/>
          <w:kern w:val="0"/>
          <w:szCs w:val="21"/>
        </w:rPr>
        <w:t>表</w:t>
      </w:r>
      <w:r w:rsidRPr="00874589">
        <w:rPr>
          <w:rFonts w:ascii="黑体" w:eastAsia="黑体" w:hAnsi="黑体" w:cs="宋体" w:hint="eastAsia"/>
          <w:color w:val="000000"/>
          <w:kern w:val="0"/>
          <w:sz w:val="18"/>
          <w:szCs w:val="18"/>
        </w:rPr>
        <w:t>1</w:t>
      </w:r>
      <w:r w:rsidRPr="00874589">
        <w:rPr>
          <w:rFonts w:ascii="宋体" w:eastAsia="宋体" w:hAnsi="宋体" w:cs="宋体" w:hint="eastAsia"/>
          <w:color w:val="000000"/>
          <w:kern w:val="0"/>
          <w:sz w:val="18"/>
          <w:szCs w:val="18"/>
        </w:rPr>
        <w:t> </w:t>
      </w:r>
      <w:r w:rsidRPr="00874589">
        <w:rPr>
          <w:rFonts w:ascii="Times New Roman" w:eastAsia="微软雅黑" w:hAnsi="Times New Roman" w:cs="Times New Roman" w:hint="eastAsia"/>
          <w:color w:val="000000"/>
          <w:kern w:val="0"/>
          <w:sz w:val="18"/>
          <w:szCs w:val="18"/>
        </w:rPr>
        <w:t> </w:t>
      </w:r>
      <w:r w:rsidRPr="00874589">
        <w:rPr>
          <w:rFonts w:ascii="黑体" w:eastAsia="黑体" w:hAnsi="黑体" w:cs="宋体" w:hint="eastAsia"/>
          <w:color w:val="000000"/>
          <w:kern w:val="0"/>
          <w:sz w:val="18"/>
          <w:szCs w:val="18"/>
        </w:rPr>
        <w:t>枪支弹药生产、经销、存放、射击场所重要部位安全技术防范系统配置表</w:t>
      </w:r>
    </w:p>
    <w:tbl>
      <w:tblPr>
        <w:tblW w:w="8640" w:type="dxa"/>
        <w:jc w:val="center"/>
        <w:tblInd w:w="288" w:type="dxa"/>
        <w:tblCellMar>
          <w:left w:w="0" w:type="dxa"/>
          <w:right w:w="0" w:type="dxa"/>
        </w:tblCellMar>
        <w:tblLook w:val="04A0" w:firstRow="1" w:lastRow="0" w:firstColumn="1" w:lastColumn="0" w:noHBand="0" w:noVBand="1"/>
      </w:tblPr>
      <w:tblGrid>
        <w:gridCol w:w="540"/>
        <w:gridCol w:w="540"/>
        <w:gridCol w:w="1980"/>
        <w:gridCol w:w="4860"/>
        <w:gridCol w:w="720"/>
      </w:tblGrid>
      <w:tr w:rsidR="00874589" w:rsidRPr="00874589" w:rsidTr="00874589">
        <w:trPr>
          <w:cantSplit/>
          <w:trHeight w:val="284"/>
          <w:jc w:val="center"/>
        </w:trPr>
        <w:tc>
          <w:tcPr>
            <w:tcW w:w="540"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序号</w:t>
            </w:r>
          </w:p>
        </w:tc>
        <w:tc>
          <w:tcPr>
            <w:tcW w:w="2520" w:type="dxa"/>
            <w:gridSpan w:val="2"/>
            <w:tcBorders>
              <w:top w:val="single" w:sz="12"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项目</w:t>
            </w:r>
          </w:p>
        </w:tc>
        <w:tc>
          <w:tcPr>
            <w:tcW w:w="4860" w:type="dxa"/>
            <w:tcBorders>
              <w:top w:val="single" w:sz="12"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安装区域或覆盖范围</w:t>
            </w:r>
          </w:p>
        </w:tc>
        <w:tc>
          <w:tcPr>
            <w:tcW w:w="720" w:type="dxa"/>
            <w:tcBorders>
              <w:top w:val="single" w:sz="12" w:space="0" w:color="auto"/>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要求</w:t>
            </w:r>
          </w:p>
        </w:tc>
      </w:tr>
      <w:tr w:rsidR="00874589" w:rsidRPr="00874589" w:rsidTr="00874589">
        <w:trPr>
          <w:cantSplit/>
          <w:trHeight w:val="8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1</w:t>
            </w:r>
          </w:p>
        </w:tc>
        <w:tc>
          <w:tcPr>
            <w:tcW w:w="54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视频安防监控系统</w:t>
            </w:r>
          </w:p>
        </w:tc>
        <w:tc>
          <w:tcPr>
            <w:tcW w:w="198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彩色摄像机</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8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周界</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8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8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公共区域</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8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8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与外界相通的出入口</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201"/>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01"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01"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相关楼层的楼梯口、前厅、电梯厅、自动扶梯口</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01"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电梯轿厢</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机动车停车场（库）出入口</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零部件加工、装配、（试）射击、校验区域及出入口、通道</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枪支擦拭、修理区</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枪支弹药及枪支零部件（含废、旧、待处理品）存放场所</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lastRenderedPageBreak/>
              <w:t>10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枪支弹药的交接领取处、内部转运通道</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11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营业性射击场所的固定射击位置处</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12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档案（资料）室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227"/>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27"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13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27" w:lineRule="atLeast"/>
              <w:jc w:val="left"/>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安防中心控制室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27"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30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14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19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人脸识别装置</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安防中心控制室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30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15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198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处理/控制、记录/显示设备</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值班室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30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16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安防中心控制室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2"/>
                <w:kern w:val="0"/>
                <w:sz w:val="18"/>
                <w:szCs w:val="18"/>
              </w:rPr>
              <w:t>17</w:t>
            </w:r>
          </w:p>
        </w:tc>
        <w:tc>
          <w:tcPr>
            <w:tcW w:w="54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入侵报警系统</w:t>
            </w:r>
          </w:p>
        </w:tc>
        <w:tc>
          <w:tcPr>
            <w:tcW w:w="19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入侵探测器</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生产场所的周界</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2"/>
                <w:kern w:val="0"/>
                <w:sz w:val="18"/>
                <w:szCs w:val="18"/>
              </w:rPr>
              <w:t>18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198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入侵探测器（声光告警器）</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相关楼层的楼梯口、前厅、电梯厅、自动扶梯口</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19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枪支弹药及枪支零部件（含废、旧、待处理品）存放场所</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档案（资料）室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263"/>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198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left"/>
              <w:rPr>
                <w:rFonts w:ascii="宋体" w:eastAsia="宋体" w:hAnsi="宋体" w:cs="宋体"/>
                <w:color w:val="000000"/>
                <w:kern w:val="0"/>
                <w:sz w:val="18"/>
                <w:szCs w:val="18"/>
              </w:rPr>
            </w:pPr>
            <w:r w:rsidRPr="00874589">
              <w:rPr>
                <w:rFonts w:ascii="宋体" w:eastAsia="宋体" w:hAnsi="宋体" w:cs="宋体" w:hint="eastAsia"/>
                <w:color w:val="000000"/>
                <w:kern w:val="0"/>
                <w:sz w:val="18"/>
                <w:szCs w:val="18"/>
              </w:rPr>
              <w:t>紧急报警装置</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枪支弹药交接领取处</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0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0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18"/>
                <w:szCs w:val="18"/>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0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门卫室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0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0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0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18"/>
                <w:szCs w:val="18"/>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0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值班室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0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10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0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18"/>
                <w:szCs w:val="18"/>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0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安防中心控制室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0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315"/>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19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处理/控制/管理设备</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安防中心控制室及相关的独立设防区域</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217"/>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17"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2"/>
                <w:kern w:val="0"/>
                <w:sz w:val="18"/>
                <w:szCs w:val="18"/>
              </w:rPr>
              <w:t>26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19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17" w:lineRule="atLeast"/>
              <w:jc w:val="center"/>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显示/记录设备</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17"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安防中心控制室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17"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8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27</w:t>
            </w:r>
          </w:p>
        </w:tc>
        <w:tc>
          <w:tcPr>
            <w:tcW w:w="54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出入口控制系统</w:t>
            </w:r>
          </w:p>
        </w:tc>
        <w:tc>
          <w:tcPr>
            <w:tcW w:w="198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识读/执行设备</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零部件加工、装配、校验的区域出入口</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8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（试）射击的区域</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24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29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枪支弹药及枪支零部件（含废、旧、待处理品）存放场所</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31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30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档案（资料）室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311"/>
          <w:jc w:val="center"/>
        </w:trPr>
        <w:tc>
          <w:tcPr>
            <w:tcW w:w="540" w:type="dxa"/>
            <w:tcBorders>
              <w:top w:val="outset" w:sz="6" w:space="0" w:color="ECE9D8"/>
              <w:left w:val="single" w:sz="12"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lastRenderedPageBreak/>
              <w:t>31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安防中心控制室</w:t>
            </w:r>
          </w:p>
        </w:tc>
        <w:tc>
          <w:tcPr>
            <w:tcW w:w="720" w:type="dxa"/>
            <w:tcBorders>
              <w:top w:val="outset" w:sz="6" w:space="0" w:color="ECE9D8"/>
              <w:left w:val="outset" w:sz="6" w:space="0" w:color="ECE9D8"/>
              <w:bottom w:val="outset" w:sz="6" w:space="0" w:color="ECE9D8"/>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157"/>
          <w:jc w:val="center"/>
        </w:trPr>
        <w:tc>
          <w:tcPr>
            <w:tcW w:w="540"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57"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kern w:val="0"/>
                <w:sz w:val="18"/>
                <w:szCs w:val="18"/>
              </w:rPr>
              <w:t>32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19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57"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联网显示/编程/管理/控制设备</w:t>
            </w:r>
          </w:p>
        </w:tc>
        <w:tc>
          <w:tcPr>
            <w:tcW w:w="48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57"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安防中心控制室</w:t>
            </w:r>
          </w:p>
        </w:tc>
        <w:tc>
          <w:tcPr>
            <w:tcW w:w="720" w:type="dxa"/>
            <w:tcBorders>
              <w:top w:val="single" w:sz="8" w:space="0" w:color="auto"/>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57"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33</w:t>
            </w:r>
          </w:p>
        </w:tc>
        <w:tc>
          <w:tcPr>
            <w:tcW w:w="252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机动车停车场（库）管理系统</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Times New Roman" w:eastAsia="宋体" w:hAnsi="Times New Roman" w:cs="Times New Roman"/>
                <w:color w:val="000000"/>
                <w:spacing w:val="-24"/>
                <w:kern w:val="0"/>
                <w:sz w:val="18"/>
                <w:szCs w:val="18"/>
              </w:rPr>
              <w:t>    </w:t>
            </w:r>
            <w:r w:rsidRPr="00874589">
              <w:rPr>
                <w:rFonts w:ascii="宋体" w:eastAsia="宋体" w:hAnsi="宋体" w:cs="宋体" w:hint="eastAsia"/>
                <w:color w:val="000000"/>
                <w:kern w:val="0"/>
                <w:sz w:val="18"/>
                <w:szCs w:val="18"/>
              </w:rPr>
              <w:t>机动车停车场（库）出入口</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12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34</w:t>
            </w:r>
          </w:p>
        </w:tc>
        <w:tc>
          <w:tcPr>
            <w:tcW w:w="252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通讯显示系统</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left"/>
              <w:rPr>
                <w:rFonts w:ascii="宋体" w:eastAsia="宋体" w:hAnsi="宋体" w:cs="宋体"/>
                <w:color w:val="000000"/>
                <w:kern w:val="0"/>
                <w:sz w:val="24"/>
                <w:szCs w:val="24"/>
              </w:rPr>
            </w:pPr>
            <w:r w:rsidRPr="00874589">
              <w:rPr>
                <w:rFonts w:ascii="宋体" w:eastAsia="宋体" w:hAnsi="宋体" w:cs="宋体" w:hint="eastAsia"/>
                <w:color w:val="000000"/>
                <w:spacing w:val="-24"/>
                <w:kern w:val="0"/>
                <w:sz w:val="18"/>
                <w:szCs w:val="18"/>
              </w:rPr>
              <w:t>对外公开服务、咨询电话</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2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205"/>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05"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35</w:t>
            </w:r>
          </w:p>
        </w:tc>
        <w:tc>
          <w:tcPr>
            <w:tcW w:w="252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05" w:lineRule="atLeast"/>
              <w:jc w:val="center"/>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电子巡查系统</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05"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周界、相关的出入口和楼层</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05"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591"/>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36</w:t>
            </w:r>
          </w:p>
        </w:tc>
        <w:tc>
          <w:tcPr>
            <w:tcW w:w="54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0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安全检查装置</w:t>
            </w:r>
          </w:p>
        </w:tc>
        <w:tc>
          <w:tcPr>
            <w:tcW w:w="19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微剂量X射线设备</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枪支弹药存放场所出入口</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90"/>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9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37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19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9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通过式金属探测门</w:t>
            </w: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9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枪支弹药存放场所出入口</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9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149"/>
          <w:jc w:val="center"/>
        </w:trPr>
        <w:tc>
          <w:tcPr>
            <w:tcW w:w="540" w:type="dxa"/>
            <w:tcBorders>
              <w:top w:val="outset" w:sz="6" w:space="0" w:color="ECE9D8"/>
              <w:left w:val="single" w:sz="12"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49"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38</w:t>
            </w:r>
          </w:p>
        </w:tc>
        <w:tc>
          <w:tcPr>
            <w:tcW w:w="540"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49"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实体防护装置</w:t>
            </w:r>
          </w:p>
        </w:tc>
        <w:tc>
          <w:tcPr>
            <w:tcW w:w="198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49"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双锁防盗防火安全门、钢窗栅栏、实体墙</w:t>
            </w:r>
          </w:p>
        </w:tc>
        <w:tc>
          <w:tcPr>
            <w:tcW w:w="486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49"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档案（资料）室</w:t>
            </w:r>
          </w:p>
        </w:tc>
        <w:tc>
          <w:tcPr>
            <w:tcW w:w="720" w:type="dxa"/>
            <w:tcBorders>
              <w:top w:val="outset" w:sz="6" w:space="0" w:color="ECE9D8"/>
              <w:left w:val="outset" w:sz="6" w:space="0" w:color="ECE9D8"/>
              <w:bottom w:val="outset" w:sz="6" w:space="0" w:color="ECE9D8"/>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49"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80"/>
          <w:jc w:val="center"/>
        </w:trPr>
        <w:tc>
          <w:tcPr>
            <w:tcW w:w="540"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39</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枪支弹药及枪支零部件（含废、旧、待处理品）存放场所</w:t>
            </w:r>
          </w:p>
        </w:tc>
        <w:tc>
          <w:tcPr>
            <w:tcW w:w="720" w:type="dxa"/>
            <w:tcBorders>
              <w:top w:val="single" w:sz="8" w:space="0" w:color="auto"/>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8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281"/>
          <w:jc w:val="center"/>
        </w:trPr>
        <w:tc>
          <w:tcPr>
            <w:tcW w:w="54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40</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安防中心控制室</w:t>
            </w:r>
          </w:p>
        </w:tc>
        <w:tc>
          <w:tcPr>
            <w:tcW w:w="720"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40"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r w:rsidR="00874589" w:rsidRPr="00874589" w:rsidTr="00874589">
        <w:trPr>
          <w:cantSplit/>
          <w:trHeight w:val="221"/>
          <w:jc w:val="center"/>
        </w:trPr>
        <w:tc>
          <w:tcPr>
            <w:tcW w:w="540" w:type="dxa"/>
            <w:tcBorders>
              <w:top w:val="outset" w:sz="6" w:space="0" w:color="ECE9D8"/>
              <w:left w:val="single" w:sz="12"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21"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41</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1980"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21"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枪支弹药柜</w:t>
            </w:r>
          </w:p>
        </w:tc>
        <w:tc>
          <w:tcPr>
            <w:tcW w:w="486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21"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仅存放枪支或仅存放弹药的场所</w:t>
            </w:r>
          </w:p>
        </w:tc>
        <w:tc>
          <w:tcPr>
            <w:tcW w:w="720" w:type="dxa"/>
            <w:tcBorders>
              <w:top w:val="outset" w:sz="6" w:space="0" w:color="ECE9D8"/>
              <w:left w:val="outset" w:sz="6" w:space="0" w:color="ECE9D8"/>
              <w:bottom w:val="outset" w:sz="6" w:space="0" w:color="ECE9D8"/>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221"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推荐</w:t>
            </w:r>
          </w:p>
        </w:tc>
      </w:tr>
      <w:tr w:rsidR="00874589" w:rsidRPr="00874589" w:rsidTr="00874589">
        <w:trPr>
          <w:cantSplit/>
          <w:trHeight w:val="137"/>
          <w:jc w:val="center"/>
        </w:trPr>
        <w:tc>
          <w:tcPr>
            <w:tcW w:w="540" w:type="dxa"/>
            <w:tcBorders>
              <w:top w:val="single" w:sz="8"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37" w:lineRule="atLeast"/>
              <w:jc w:val="center"/>
              <w:rPr>
                <w:rFonts w:ascii="宋体" w:eastAsia="宋体" w:hAnsi="宋体" w:cs="宋体"/>
                <w:color w:val="000000"/>
                <w:kern w:val="0"/>
                <w:sz w:val="24"/>
                <w:szCs w:val="24"/>
              </w:rPr>
            </w:pPr>
            <w:r w:rsidRPr="00874589">
              <w:rPr>
                <w:rFonts w:ascii="Times New Roman" w:eastAsia="宋体" w:hAnsi="Times New Roman" w:cs="Times New Roman"/>
                <w:color w:val="000000"/>
                <w:spacing w:val="-16"/>
                <w:kern w:val="0"/>
                <w:sz w:val="18"/>
                <w:szCs w:val="18"/>
              </w:rPr>
              <w:t>42</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874589" w:rsidRPr="00874589" w:rsidRDefault="00874589" w:rsidP="00874589">
            <w:pPr>
              <w:widowControl/>
              <w:jc w:val="left"/>
              <w:rPr>
                <w:rFonts w:ascii="宋体" w:eastAsia="宋体" w:hAnsi="宋体" w:cs="宋体"/>
                <w:color w:val="000000"/>
                <w:kern w:val="0"/>
                <w:sz w:val="24"/>
                <w:szCs w:val="24"/>
              </w:rPr>
            </w:pPr>
          </w:p>
        </w:tc>
        <w:tc>
          <w:tcPr>
            <w:tcW w:w="4860" w:type="dxa"/>
            <w:tcBorders>
              <w:top w:val="single" w:sz="8" w:space="0" w:color="auto"/>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37" w:lineRule="atLeast"/>
              <w:jc w:val="left"/>
              <w:rPr>
                <w:rFonts w:ascii="宋体" w:eastAsia="宋体" w:hAnsi="宋体" w:cs="宋体"/>
                <w:color w:val="000000"/>
                <w:kern w:val="0"/>
                <w:sz w:val="24"/>
                <w:szCs w:val="24"/>
              </w:rPr>
            </w:pPr>
            <w:r w:rsidRPr="00874589">
              <w:rPr>
                <w:rFonts w:ascii="宋体" w:eastAsia="宋体" w:hAnsi="宋体" w:cs="宋体" w:hint="eastAsia"/>
                <w:color w:val="000000"/>
                <w:kern w:val="0"/>
                <w:sz w:val="18"/>
                <w:szCs w:val="18"/>
              </w:rPr>
              <w:t>同时存放枪支和弹药的场所</w:t>
            </w:r>
          </w:p>
        </w:tc>
        <w:tc>
          <w:tcPr>
            <w:tcW w:w="720" w:type="dxa"/>
            <w:tcBorders>
              <w:top w:val="single" w:sz="8" w:space="0" w:color="auto"/>
              <w:left w:val="outset" w:sz="6" w:space="0" w:color="ECE9D8"/>
              <w:bottom w:val="single" w:sz="12" w:space="0" w:color="auto"/>
              <w:right w:val="single" w:sz="12" w:space="0" w:color="auto"/>
            </w:tcBorders>
            <w:shd w:val="clear" w:color="auto" w:fill="auto"/>
            <w:tcMar>
              <w:top w:w="0" w:type="dxa"/>
              <w:left w:w="108" w:type="dxa"/>
              <w:bottom w:w="0" w:type="dxa"/>
              <w:right w:w="108" w:type="dxa"/>
            </w:tcMar>
            <w:vAlign w:val="center"/>
            <w:hideMark/>
          </w:tcPr>
          <w:p w:rsidR="00874589" w:rsidRPr="00874589" w:rsidRDefault="00874589" w:rsidP="00874589">
            <w:pPr>
              <w:widowControl/>
              <w:spacing w:line="137" w:lineRule="atLeast"/>
              <w:jc w:val="center"/>
              <w:rPr>
                <w:rFonts w:ascii="宋体" w:eastAsia="宋体" w:hAnsi="宋体" w:cs="宋体"/>
                <w:color w:val="000000"/>
                <w:kern w:val="0"/>
                <w:sz w:val="24"/>
                <w:szCs w:val="24"/>
              </w:rPr>
            </w:pPr>
            <w:r w:rsidRPr="00874589">
              <w:rPr>
                <w:rFonts w:ascii="宋体" w:eastAsia="宋体" w:hAnsi="宋体" w:cs="宋体"/>
                <w:color w:val="000000"/>
                <w:kern w:val="0"/>
                <w:sz w:val="24"/>
                <w:szCs w:val="24"/>
              </w:rPr>
              <w:br/>
            </w:r>
            <w:r w:rsidRPr="00874589">
              <w:rPr>
                <w:rFonts w:ascii="宋体" w:eastAsia="宋体" w:hAnsi="宋体" w:cs="宋体" w:hint="eastAsia"/>
                <w:color w:val="000000"/>
                <w:kern w:val="0"/>
                <w:sz w:val="18"/>
                <w:szCs w:val="18"/>
              </w:rPr>
              <w:t>强制</w:t>
            </w:r>
          </w:p>
        </w:tc>
      </w:tr>
    </w:tbl>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各子系统和集成要求</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视频安防监控系统</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5.1.1</w:t>
      </w:r>
      <w:r w:rsidRPr="00874589">
        <w:rPr>
          <w:rFonts w:ascii="宋体" w:eastAsia="宋体" w:hAnsi="宋体" w:cs="宋体" w:hint="eastAsia"/>
          <w:color w:val="000000"/>
          <w:kern w:val="0"/>
          <w:sz w:val="18"/>
          <w:szCs w:val="18"/>
        </w:rPr>
        <w:t>  系统应包括前端设备、传输设备、处理/控制设备和记录/显示设备四部分。</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5.1.2</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摄像机安装应减少或避免图像出现逆光，且摄像机工作时监视范围内的平均照度宜不小于20</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Lx。</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5.1.3</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出入口摄像机安装应符合以下要求：</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a</w:t>
      </w:r>
      <w:r w:rsidRPr="00874589">
        <w:rPr>
          <w:rFonts w:ascii="黑体" w:eastAsia="黑体" w:hAnsi="黑体" w:cs="宋体" w:hint="eastAsia"/>
          <w:b/>
          <w:bCs/>
          <w:color w:val="000000"/>
          <w:kern w:val="0"/>
          <w:sz w:val="18"/>
          <w:szCs w:val="18"/>
        </w:rPr>
        <w:t>）</w:t>
      </w:r>
      <w:r w:rsidRPr="00874589">
        <w:rPr>
          <w:rFonts w:ascii="宋体" w:eastAsia="宋体" w:hAnsi="宋体" w:cs="宋体" w:hint="eastAsia"/>
          <w:color w:val="000000"/>
          <w:kern w:val="0"/>
          <w:sz w:val="18"/>
          <w:szCs w:val="18"/>
        </w:rPr>
        <w:t>固定焦距、方向；</w:t>
      </w:r>
    </w:p>
    <w:p w:rsidR="00874589" w:rsidRPr="00874589" w:rsidRDefault="00874589" w:rsidP="00874589">
      <w:pPr>
        <w:widowControl/>
        <w:shd w:val="clear" w:color="auto" w:fill="FFFFFF"/>
        <w:spacing w:line="400" w:lineRule="atLeast"/>
        <w:ind w:firstLine="405"/>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b</w:t>
      </w:r>
      <w:r w:rsidRPr="00874589">
        <w:rPr>
          <w:rFonts w:ascii="黑体" w:eastAsia="黑体" w:hAnsi="黑体" w:cs="宋体" w:hint="eastAsia"/>
          <w:b/>
          <w:bCs/>
          <w:color w:val="000000"/>
          <w:kern w:val="0"/>
          <w:sz w:val="18"/>
          <w:szCs w:val="18"/>
        </w:rPr>
        <w:t>）</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监视区域内不应有盲区；</w:t>
      </w:r>
    </w:p>
    <w:p w:rsidR="00874589" w:rsidRPr="00874589" w:rsidRDefault="00874589" w:rsidP="00874589">
      <w:pPr>
        <w:widowControl/>
        <w:shd w:val="clear" w:color="auto" w:fill="FFFFFF"/>
        <w:spacing w:line="400" w:lineRule="atLeast"/>
        <w:ind w:firstLine="422"/>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c</w:t>
      </w:r>
      <w:r w:rsidRPr="00874589">
        <w:rPr>
          <w:rFonts w:ascii="黑体" w:eastAsia="黑体" w:hAnsi="黑体" w:cs="宋体" w:hint="eastAsia"/>
          <w:b/>
          <w:bCs/>
          <w:color w:val="000000"/>
          <w:kern w:val="0"/>
          <w:sz w:val="18"/>
          <w:szCs w:val="18"/>
        </w:rPr>
        <w:t>）</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在24小时内通过监视屏均应清楚地辨别出入人员面部特征、机动车牌号；</w:t>
      </w:r>
    </w:p>
    <w:p w:rsidR="00874589" w:rsidRPr="00874589" w:rsidRDefault="00874589" w:rsidP="00874589">
      <w:pPr>
        <w:widowControl/>
        <w:shd w:val="clear" w:color="auto" w:fill="FFFFFF"/>
        <w:spacing w:line="400" w:lineRule="atLeast"/>
        <w:ind w:firstLine="422"/>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d</w:t>
      </w:r>
      <w:r w:rsidRPr="00874589">
        <w:rPr>
          <w:rFonts w:ascii="黑体" w:eastAsia="黑体" w:hAnsi="黑体" w:cs="宋体" w:hint="eastAsia"/>
          <w:b/>
          <w:bCs/>
          <w:color w:val="000000"/>
          <w:kern w:val="0"/>
          <w:sz w:val="18"/>
          <w:szCs w:val="18"/>
        </w:rPr>
        <w:t>）</w:t>
      </w:r>
      <w:r w:rsidRPr="00874589">
        <w:rPr>
          <w:rFonts w:ascii="宋体" w:eastAsia="宋体" w:hAnsi="宋体" w:cs="宋体" w:hint="eastAsia"/>
          <w:color w:val="000000"/>
          <w:kern w:val="0"/>
          <w:sz w:val="18"/>
          <w:szCs w:val="18"/>
        </w:rPr>
        <w:t> 显示的人员正面面部有效画面宜不小于监视屏显示画面的1/60。</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5.1.4</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枪支擦拭、修理区、零部件加工、装配、（试）射击、校验区以及营业性射击场所的固定射击位置处摄像机安装位置应能通过监视屏清楚的显示人员的操作活动情况。</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lastRenderedPageBreak/>
        <w:t>5.1.5</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枪支弹药及其零部件（含废、旧、待处理品）陈列存放场所、枪支弹药交接领取处摄像机安装位置应能通过监视屏清楚显示的进出场所人员的面部特征和取存、交接枪支弹药的动作。</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5.1.6</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其他区域摄像机安装位置应能通过监视屏清楚的显示整个区域人员的活动情况。</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5.1.7</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带有云台、变焦镜头的摄像机在云台、变焦停止操作后，摄像机应在2</w:t>
      </w:r>
      <w:r w:rsidRPr="00874589">
        <w:rPr>
          <w:rFonts w:ascii="仿宋_GB2312" w:eastAsia="仿宋_GB2312" w:hAnsi="微软雅黑" w:cs="宋体" w:hint="eastAsia"/>
          <w:color w:val="000000"/>
          <w:kern w:val="0"/>
          <w:sz w:val="18"/>
          <w:szCs w:val="18"/>
        </w:rPr>
        <w:t>±</w:t>
      </w:r>
      <w:r w:rsidRPr="00874589">
        <w:rPr>
          <w:rFonts w:ascii="宋体" w:eastAsia="宋体" w:hAnsi="宋体" w:cs="宋体" w:hint="eastAsia"/>
          <w:color w:val="000000"/>
          <w:kern w:val="0"/>
          <w:sz w:val="18"/>
          <w:szCs w:val="18"/>
        </w:rPr>
        <w:t>0.5 min内自动复位至初始设定状态。</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5.1.9</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spacing w:val="6"/>
          <w:kern w:val="0"/>
          <w:sz w:val="18"/>
          <w:szCs w:val="18"/>
        </w:rPr>
        <w:t>系</w:t>
      </w:r>
      <w:r w:rsidRPr="00874589">
        <w:rPr>
          <w:rFonts w:ascii="宋体" w:eastAsia="宋体" w:hAnsi="宋体" w:cs="宋体" w:hint="eastAsia"/>
          <w:color w:val="000000"/>
          <w:kern w:val="0"/>
          <w:sz w:val="18"/>
          <w:szCs w:val="18"/>
        </w:rPr>
        <w:t>统应能切换图像，并能根据系统的配置，控制摄像机云台、镜头等。</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5.1.10</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系统应具有时间、日期的字符叠加、记录和调整功能，字符叠加不应影响对图像的监视和记录效果，与标准时间的误差应在±30s以内。</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5.1.11</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 摄像机在标准照度下，视频安防监控系统图像信号的技术指标应不低于GB 50198</w:t>
      </w:r>
      <w:r w:rsidRPr="00874589">
        <w:rPr>
          <w:rFonts w:ascii="宋体" w:eastAsia="宋体" w:hAnsi="宋体" w:cs="宋体" w:hint="eastAsia"/>
          <w:color w:val="000000"/>
          <w:spacing w:val="4"/>
          <w:kern w:val="0"/>
          <w:sz w:val="18"/>
          <w:szCs w:val="18"/>
        </w:rPr>
        <w:t>规定</w:t>
      </w:r>
      <w:r w:rsidRPr="00874589">
        <w:rPr>
          <w:rFonts w:ascii="宋体" w:eastAsia="宋体" w:hAnsi="宋体" w:cs="宋体" w:hint="eastAsia"/>
          <w:color w:val="000000"/>
          <w:kern w:val="0"/>
          <w:sz w:val="18"/>
          <w:szCs w:val="18"/>
        </w:rPr>
        <w:t>的</w:t>
      </w:r>
      <w:r w:rsidRPr="00874589">
        <w:rPr>
          <w:rFonts w:ascii="宋体" w:eastAsia="宋体" w:hAnsi="宋体" w:cs="宋体" w:hint="eastAsia"/>
          <w:color w:val="000000"/>
          <w:spacing w:val="4"/>
          <w:kern w:val="0"/>
          <w:sz w:val="18"/>
          <w:szCs w:val="18"/>
        </w:rPr>
        <w:t>评分等级</w:t>
      </w:r>
      <w:r w:rsidRPr="00874589">
        <w:rPr>
          <w:rFonts w:ascii="宋体" w:eastAsia="宋体" w:hAnsi="宋体" w:cs="宋体" w:hint="eastAsia"/>
          <w:color w:val="000000"/>
          <w:kern w:val="0"/>
          <w:sz w:val="18"/>
          <w:szCs w:val="18"/>
        </w:rPr>
        <w:t>4级的要求，回放图像质量不应低于3级的要求。</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5.1.12</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系统应采用硬盘录像机进行2</w:t>
      </w:r>
      <w:r w:rsidRPr="00874589">
        <w:rPr>
          <w:rFonts w:ascii="宋体" w:eastAsia="宋体" w:hAnsi="宋体" w:cs="宋体" w:hint="eastAsia"/>
          <w:color w:val="000000"/>
          <w:spacing w:val="40"/>
          <w:kern w:val="0"/>
          <w:sz w:val="18"/>
          <w:szCs w:val="18"/>
        </w:rPr>
        <w:t>4</w:t>
      </w:r>
      <w:r w:rsidRPr="00874589">
        <w:rPr>
          <w:rFonts w:ascii="宋体" w:eastAsia="宋体" w:hAnsi="宋体" w:cs="宋体" w:hint="eastAsia"/>
          <w:color w:val="000000"/>
          <w:kern w:val="0"/>
          <w:sz w:val="18"/>
          <w:szCs w:val="18"/>
        </w:rPr>
        <w:t>h图像记录, 图像记录保存时间应不少于30d。</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5.1.13</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硬盘录像机应符合GB 20815中Ⅱ类机（专业型数字录像设备）或Ⅲ类机（综合型数字录像设备）A级产品的要求。并应具有DVD视（音）频信号数据输出接口，输出的视(音)频复制信号均能使用通用影音播放软件播放,或可直接在通用设备上回放。</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5.1.14</w:t>
      </w:r>
      <w:r w:rsidRPr="00874589">
        <w:rPr>
          <w:rFonts w:ascii="宋体" w:eastAsia="宋体" w:hAnsi="宋体" w:cs="宋体" w:hint="eastAsia"/>
          <w:color w:val="000000"/>
          <w:kern w:val="0"/>
          <w:sz w:val="18"/>
          <w:szCs w:val="18"/>
        </w:rPr>
        <w:t>  人脸识别装置应建立数据库,并应满足以下主要要求:</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宋体" w:eastAsia="宋体" w:hAnsi="宋体" w:cs="宋体" w:hint="eastAsia"/>
          <w:b/>
          <w:bCs/>
          <w:color w:val="000000"/>
          <w:kern w:val="0"/>
          <w:szCs w:val="21"/>
        </w:rPr>
        <w:t>a)</w:t>
      </w:r>
      <w:r w:rsidRPr="00874589">
        <w:rPr>
          <w:rFonts w:ascii="宋体" w:eastAsia="宋体" w:hAnsi="宋体" w:cs="宋体" w:hint="eastAsia"/>
          <w:color w:val="000000"/>
          <w:kern w:val="0"/>
          <w:szCs w:val="21"/>
        </w:rPr>
        <w:t>  </w:t>
      </w:r>
      <w:r w:rsidRPr="00874589">
        <w:rPr>
          <w:rFonts w:ascii="宋体" w:eastAsia="宋体" w:hAnsi="宋体" w:cs="宋体" w:hint="eastAsia"/>
          <w:color w:val="000000"/>
          <w:kern w:val="0"/>
          <w:sz w:val="18"/>
          <w:szCs w:val="18"/>
        </w:rPr>
        <w:t>应能对照片或录像等比对源图像信号进行人脸识别；</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宋体" w:eastAsia="宋体" w:hAnsi="宋体" w:cs="宋体" w:hint="eastAsia"/>
          <w:b/>
          <w:bCs/>
          <w:color w:val="000000"/>
          <w:kern w:val="0"/>
          <w:szCs w:val="21"/>
        </w:rPr>
        <w:t>b</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应能对不小于显示屏有效画面比例1/8的人脸识别；</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宋体" w:eastAsia="宋体" w:hAnsi="宋体" w:cs="宋体" w:hint="eastAsia"/>
          <w:b/>
          <w:bCs/>
          <w:color w:val="000000"/>
          <w:kern w:val="0"/>
          <w:szCs w:val="21"/>
        </w:rPr>
        <w:t>c</w:t>
      </w:r>
      <w:r w:rsidRPr="00874589">
        <w:rPr>
          <w:rFonts w:ascii="宋体" w:eastAsia="宋体" w:hAnsi="宋体" w:cs="宋体" w:hint="eastAsia"/>
          <w:b/>
          <w:bCs/>
          <w:color w:val="000000"/>
          <w:kern w:val="0"/>
          <w:sz w:val="18"/>
          <w:szCs w:val="18"/>
        </w:rPr>
        <w:t>）</w:t>
      </w:r>
      <w:r w:rsidRPr="00874589">
        <w:rPr>
          <w:rFonts w:ascii="宋体" w:eastAsia="宋体" w:hAnsi="宋体" w:cs="宋体" w:hint="eastAsia"/>
          <w:color w:val="000000"/>
          <w:kern w:val="0"/>
          <w:sz w:val="18"/>
          <w:szCs w:val="18"/>
        </w:rPr>
        <w:t> 脸部小于15°的姿势变化应不影响识别的正确性；</w:t>
      </w:r>
    </w:p>
    <w:p w:rsidR="00874589" w:rsidRPr="00874589" w:rsidRDefault="00874589" w:rsidP="00874589">
      <w:pPr>
        <w:widowControl/>
        <w:shd w:val="clear" w:color="auto" w:fill="FFFFFF"/>
        <w:spacing w:line="400" w:lineRule="atLeast"/>
        <w:ind w:firstLine="422"/>
        <w:jc w:val="left"/>
        <w:rPr>
          <w:rFonts w:ascii="微软雅黑" w:eastAsia="微软雅黑" w:hAnsi="微软雅黑" w:cs="宋体" w:hint="eastAsia"/>
          <w:color w:val="4A4A4A"/>
          <w:kern w:val="0"/>
          <w:sz w:val="18"/>
          <w:szCs w:val="18"/>
        </w:rPr>
      </w:pPr>
      <w:r w:rsidRPr="00874589">
        <w:rPr>
          <w:rFonts w:ascii="宋体" w:eastAsia="宋体" w:hAnsi="宋体" w:cs="宋体" w:hint="eastAsia"/>
          <w:b/>
          <w:bCs/>
          <w:color w:val="000000"/>
          <w:kern w:val="0"/>
          <w:szCs w:val="21"/>
        </w:rPr>
        <w:t>d</w:t>
      </w:r>
      <w:r w:rsidRPr="00874589">
        <w:rPr>
          <w:rFonts w:ascii="宋体" w:eastAsia="宋体" w:hAnsi="宋体" w:cs="宋体" w:hint="eastAsia"/>
          <w:b/>
          <w:bCs/>
          <w:color w:val="000000"/>
          <w:kern w:val="0"/>
          <w:sz w:val="18"/>
          <w:szCs w:val="18"/>
        </w:rPr>
        <w:t>）</w:t>
      </w:r>
      <w:r w:rsidRPr="00874589">
        <w:rPr>
          <w:rFonts w:ascii="宋体" w:eastAsia="宋体" w:hAnsi="宋体" w:cs="宋体" w:hint="eastAsia"/>
          <w:color w:val="000000"/>
          <w:kern w:val="0"/>
          <w:sz w:val="18"/>
          <w:szCs w:val="18"/>
        </w:rPr>
        <w:t> 每个视频通道应能同时对2个（含）以上的人脸图像进行识别，识别速度应不小于4frame/s，一旦发现识别目标应立即显示并报警。</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5.1.15</w:t>
      </w:r>
      <w:r w:rsidRPr="00874589">
        <w:rPr>
          <w:rFonts w:ascii="宋体" w:eastAsia="宋体" w:hAnsi="宋体" w:cs="宋体" w:hint="eastAsia"/>
          <w:color w:val="000000"/>
          <w:kern w:val="0"/>
          <w:sz w:val="18"/>
          <w:szCs w:val="18"/>
        </w:rPr>
        <w:t>  视频安防监控系统的其他要求应符合GB 50395的规定。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入侵报警系统</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5.2.1</w:t>
      </w:r>
      <w:r w:rsidRPr="00874589">
        <w:rPr>
          <w:rFonts w:ascii="宋体" w:eastAsia="宋体" w:hAnsi="宋体" w:cs="宋体" w:hint="eastAsia"/>
          <w:color w:val="000000"/>
          <w:kern w:val="0"/>
          <w:sz w:val="18"/>
          <w:szCs w:val="18"/>
        </w:rPr>
        <w:t>  系统应包括前端设备、传输设备、处理/控制/管理设备和显示/记录设备四部分。</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5.2.2</w:t>
      </w:r>
      <w:r w:rsidRPr="00874589">
        <w:rPr>
          <w:rFonts w:ascii="宋体" w:eastAsia="宋体" w:hAnsi="宋体" w:cs="宋体" w:hint="eastAsia"/>
          <w:color w:val="000000"/>
          <w:kern w:val="0"/>
          <w:sz w:val="18"/>
          <w:szCs w:val="18"/>
        </w:rPr>
        <w:t>  应根据防护覆盖范围的需要选择适宜的入侵探测器类型和规格，安装应符合产品技术说明书的规定。防区划分应有利于报警时准确定位，且不应有盲区，并根据管理要求设防。</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5.2.3</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 周界封闭屏障处防区间距应不大于7</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m，且应2</w:t>
      </w:r>
      <w:r w:rsidRPr="00874589">
        <w:rPr>
          <w:rFonts w:ascii="宋体" w:eastAsia="宋体" w:hAnsi="宋体" w:cs="宋体" w:hint="eastAsia"/>
          <w:color w:val="000000"/>
          <w:spacing w:val="40"/>
          <w:kern w:val="0"/>
          <w:sz w:val="18"/>
          <w:szCs w:val="18"/>
        </w:rPr>
        <w:t>4</w:t>
      </w:r>
      <w:r w:rsidRPr="00874589">
        <w:rPr>
          <w:rFonts w:ascii="宋体" w:eastAsia="宋体" w:hAnsi="宋体" w:cs="宋体" w:hint="eastAsia"/>
          <w:color w:val="000000"/>
          <w:kern w:val="0"/>
          <w:sz w:val="18"/>
          <w:szCs w:val="18"/>
        </w:rPr>
        <w:t>h设防。</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5.2.4</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除周界封闭屏障处以外，无人看守的场所安装入侵探测器的现场应安装声光告警器。告警器现场报警声压不小于8</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dB（A），声光报警持续时间不小于</w:t>
      </w:r>
      <w:r w:rsidRPr="00874589">
        <w:rPr>
          <w:rFonts w:ascii="宋体" w:eastAsia="宋体" w:hAnsi="宋体" w:cs="宋体" w:hint="eastAsia"/>
          <w:color w:val="000000"/>
          <w:spacing w:val="40"/>
          <w:kern w:val="0"/>
          <w:sz w:val="18"/>
          <w:szCs w:val="18"/>
        </w:rPr>
        <w:t>5</w:t>
      </w:r>
      <w:r w:rsidRPr="00874589">
        <w:rPr>
          <w:rFonts w:ascii="宋体" w:eastAsia="宋体" w:hAnsi="宋体" w:cs="宋体" w:hint="eastAsia"/>
          <w:color w:val="000000"/>
          <w:kern w:val="0"/>
          <w:sz w:val="18"/>
          <w:szCs w:val="18"/>
        </w:rPr>
        <w:t>min；安防中心控制室的声光报警应保持至人工操作复位。</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5.2.5</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紧急报警装置应安装在隐蔽、便于操作的部位，并应设置为不可撤防模式，且应有防误触发措施。当被触发报警后应能立即发出紧急报警信号并自锁，复位应采用人工操作方式。</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5.2.6</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枪支弹药交接领取处、门卫室的紧急报警装置应与“110”报警中心联网。</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5.2.7</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入侵报警信号应传送至安防中心控制室。系统使用专用电缆传输报警信号时报警响应时间应不大于2s；使用公共电话网络传输时报警响应时间应不大于20s。</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lastRenderedPageBreak/>
        <w:t>5.2.8</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以电话网络作为报警传输专线时，不应在线路上挂接其他通信设施。</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5.2.9</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系统应具有时间、日期的显示、记录和调整功能，时间误差应在±30s以内。</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5.2.10</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 系统布防、撤防、报警、故障等信息的存储时间应不少于30d，并能输出打印。</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5.2.11</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系统的备用电源应满足8h正常工作。</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5.2.12</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 入侵探测器的技术要求应符合相关标准的规定。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5.2.13</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防盗报警控制器其他技术要求应符合GB 12663的规定。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5.2.14</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入侵报警系统的其他要求应符合GB 50394的规定。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5.3</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出入口控制系统</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5.3.1</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对非法进入的行为或连续3次不正确的识读，系统应发出报警信号，系统安装部位的报警声压不小于8</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dB（A），报警持续时间不小于</w:t>
      </w:r>
      <w:r w:rsidRPr="00874589">
        <w:rPr>
          <w:rFonts w:ascii="宋体" w:eastAsia="宋体" w:hAnsi="宋体" w:cs="宋体" w:hint="eastAsia"/>
          <w:color w:val="000000"/>
          <w:spacing w:val="40"/>
          <w:kern w:val="0"/>
          <w:sz w:val="18"/>
          <w:szCs w:val="18"/>
        </w:rPr>
        <w:t>5</w:t>
      </w:r>
      <w:r w:rsidRPr="00874589">
        <w:rPr>
          <w:rFonts w:ascii="宋体" w:eastAsia="宋体" w:hAnsi="宋体" w:cs="宋体" w:hint="eastAsia"/>
          <w:color w:val="000000"/>
          <w:kern w:val="0"/>
          <w:sz w:val="18"/>
          <w:szCs w:val="18"/>
        </w:rPr>
        <w:t>min。安防中心控制室的声光报警应保持至人工操作复位。</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5.3.2</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不应使用密码按键式识读设备。</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5.3.3</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系统时间与标准时间的误差应在±1</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s内。记录保存时间应不少于</w:t>
      </w:r>
      <w:r w:rsidRPr="00874589">
        <w:rPr>
          <w:rFonts w:ascii="宋体" w:eastAsia="宋体" w:hAnsi="宋体" w:cs="宋体" w:hint="eastAsia"/>
          <w:color w:val="000000"/>
          <w:spacing w:val="40"/>
          <w:kern w:val="0"/>
          <w:sz w:val="18"/>
          <w:szCs w:val="18"/>
        </w:rPr>
        <w:t>7</w:t>
      </w:r>
      <w:r w:rsidRPr="00874589">
        <w:rPr>
          <w:rFonts w:ascii="宋体" w:eastAsia="宋体" w:hAnsi="宋体" w:cs="宋体" w:hint="eastAsia"/>
          <w:color w:val="000000"/>
          <w:kern w:val="0"/>
          <w:sz w:val="18"/>
          <w:szCs w:val="18"/>
        </w:rPr>
        <w:t>d。</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5.3</w:t>
      </w:r>
      <w:r w:rsidRPr="00874589">
        <w:rPr>
          <w:rFonts w:ascii="黑体" w:eastAsia="黑体" w:hAnsi="黑体" w:cs="宋体" w:hint="eastAsia"/>
          <w:b/>
          <w:bCs/>
          <w:color w:val="000000"/>
          <w:kern w:val="0"/>
          <w:sz w:val="18"/>
          <w:szCs w:val="18"/>
        </w:rPr>
        <w:t>.4</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系统其他要求应符合GB 50396的规定。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5.4</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机动车停车场（库）管理系统</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机动车停车场（库）管理系统</w:t>
      </w:r>
      <w:r w:rsidRPr="00874589">
        <w:rPr>
          <w:rFonts w:ascii="宋体" w:eastAsia="宋体" w:hAnsi="宋体" w:cs="宋体" w:hint="eastAsia"/>
          <w:color w:val="000000"/>
          <w:kern w:val="0"/>
          <w:sz w:val="18"/>
          <w:szCs w:val="18"/>
        </w:rPr>
        <w:t>应符合GB 50348的规定。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5.5</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通讯显示系统</w:t>
      </w:r>
    </w:p>
    <w:p w:rsidR="00874589" w:rsidRPr="00874589" w:rsidRDefault="00874589" w:rsidP="00874589">
      <w:pPr>
        <w:widowControl/>
        <w:shd w:val="clear" w:color="auto" w:fill="FFFFFF"/>
        <w:spacing w:line="400" w:lineRule="atLeast"/>
        <w:ind w:firstLine="412"/>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来电号码显示应清晰，与标准</w:t>
      </w:r>
      <w:r w:rsidRPr="00874589">
        <w:rPr>
          <w:rFonts w:ascii="宋体" w:eastAsia="宋体" w:hAnsi="宋体" w:cs="宋体" w:hint="eastAsia"/>
          <w:color w:val="000000"/>
          <w:kern w:val="0"/>
          <w:sz w:val="18"/>
          <w:szCs w:val="18"/>
        </w:rPr>
        <w:t>时间的误差应在±3</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s以内。</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5.6</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电子巡查系统</w:t>
      </w:r>
    </w:p>
    <w:p w:rsidR="00874589" w:rsidRPr="00874589" w:rsidRDefault="00874589" w:rsidP="00874589">
      <w:pPr>
        <w:widowControl/>
        <w:shd w:val="clear" w:color="auto" w:fill="FFFFFF"/>
        <w:spacing w:line="400" w:lineRule="atLeast"/>
        <w:ind w:right="-23"/>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5.6.1</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巡查点安装应牢固、隐蔽，高度应便于识读。</w:t>
      </w:r>
    </w:p>
    <w:p w:rsidR="00874589" w:rsidRPr="00874589" w:rsidRDefault="00874589" w:rsidP="00874589">
      <w:pPr>
        <w:widowControl/>
        <w:shd w:val="clear" w:color="auto" w:fill="FFFFFF"/>
        <w:spacing w:line="400" w:lineRule="atLeast"/>
        <w:ind w:right="-23"/>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5.6.2</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保存时间应不少于1</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d。</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5.6.3</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系统其他要求应符合GA/T 644的规定。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5.7</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微剂量X射线安全检查设备</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微剂量X射线安全检查设备应符合GB 15208的规定。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5.8</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通过式金属探测门</w:t>
      </w:r>
    </w:p>
    <w:p w:rsidR="00874589" w:rsidRPr="00874589" w:rsidRDefault="00874589" w:rsidP="0087458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874589">
        <w:rPr>
          <w:rFonts w:ascii="宋体" w:eastAsia="宋体" w:hAnsi="宋体" w:cs="宋体" w:hint="eastAsia"/>
          <w:color w:val="000000"/>
          <w:kern w:val="0"/>
          <w:szCs w:val="21"/>
        </w:rPr>
        <w:t>通过式金属探测门应符合GB 15210的规定。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5.9</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4A4A4A"/>
          <w:kern w:val="0"/>
          <w:sz w:val="18"/>
          <w:szCs w:val="18"/>
        </w:rPr>
        <w:t>安防中心控制室</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5.9.1</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视频安防监控、入侵报警、电子巡查的终端设备，以及出入口控制系统的报警信号输出终端均应设置在安防监控中心，应能实现对各子系统的操作、记录和显示。</w:t>
      </w:r>
    </w:p>
    <w:p w:rsidR="00874589" w:rsidRPr="00874589" w:rsidRDefault="00874589" w:rsidP="00874589">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5.9.2</w:t>
      </w:r>
      <w:r w:rsidRPr="00874589">
        <w:rPr>
          <w:rFonts w:ascii="宋体" w:eastAsia="宋体" w:hAnsi="宋体" w:cs="宋体" w:hint="eastAsia"/>
          <w:color w:val="000000"/>
          <w:kern w:val="0"/>
          <w:sz w:val="18"/>
          <w:szCs w:val="18"/>
        </w:rPr>
        <w:t>  应安装紧急报警装置，并应与“110”报警中心联网。</w:t>
      </w:r>
    </w:p>
    <w:p w:rsidR="00874589" w:rsidRPr="00874589" w:rsidRDefault="00874589" w:rsidP="00874589">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5.9.3</w:t>
      </w:r>
      <w:r w:rsidRPr="00874589">
        <w:rPr>
          <w:rFonts w:ascii="宋体" w:eastAsia="宋体" w:hAnsi="宋体" w:cs="宋体" w:hint="eastAsia"/>
          <w:color w:val="000000"/>
          <w:kern w:val="0"/>
          <w:sz w:val="18"/>
          <w:szCs w:val="18"/>
        </w:rPr>
        <w:t>  安防中心控制室应配置能与报警同步的终端图形显示装置，能准确地识别报警区域，实时显示发生警情的区域、日期、时间及报警类型等信息。</w:t>
      </w:r>
    </w:p>
    <w:p w:rsidR="00874589" w:rsidRPr="00874589" w:rsidRDefault="00874589" w:rsidP="00874589">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5.9.4</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安防中心控制室应配备有线、无线专用通讯工具和强光手电筒等专用防护器械。</w:t>
      </w:r>
    </w:p>
    <w:p w:rsidR="00874589" w:rsidRPr="00874589" w:rsidRDefault="00874589" w:rsidP="00874589">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5.9.5</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安防中心控制室的其他要求应符合GB 50348、GB 50394、GB 50395和GB 50396的规定。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5.10</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实体防护装置</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lastRenderedPageBreak/>
        <w:t>5.10.1</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枪支和弹药的存放场所应分别独立设置。暂不具备分别独立设置的，应在场所内采用枪支弹药柜分别存放枪支和存放弹药。</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5.10.2</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未设置枪支弹药柜的枪支弹药存放场所建筑结构及实体墙应按JR-T0003《银行金库》要求建设。</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5.10.3</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钢栅栏应采用单根直径不小于2</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mm、壁厚不小于</w:t>
      </w:r>
      <w:r w:rsidRPr="00874589">
        <w:rPr>
          <w:rFonts w:ascii="宋体" w:eastAsia="宋体" w:hAnsi="宋体" w:cs="宋体" w:hint="eastAsia"/>
          <w:color w:val="000000"/>
          <w:spacing w:val="40"/>
          <w:kern w:val="0"/>
          <w:sz w:val="18"/>
          <w:szCs w:val="18"/>
        </w:rPr>
        <w:t>2</w:t>
      </w:r>
      <w:r w:rsidRPr="00874589">
        <w:rPr>
          <w:rFonts w:ascii="宋体" w:eastAsia="宋体" w:hAnsi="宋体" w:cs="宋体" w:hint="eastAsia"/>
          <w:color w:val="000000"/>
          <w:kern w:val="0"/>
          <w:sz w:val="18"/>
          <w:szCs w:val="18"/>
        </w:rPr>
        <w:t>mm的钢管（或单根直径不小于12mm的钢棒、单根横截面应不小于</w:t>
      </w:r>
      <w:r w:rsidRPr="00874589">
        <w:rPr>
          <w:rFonts w:ascii="宋体" w:eastAsia="宋体" w:hAnsi="宋体" w:cs="宋体" w:hint="eastAsia"/>
          <w:color w:val="000000"/>
          <w:spacing w:val="40"/>
          <w:kern w:val="0"/>
          <w:sz w:val="18"/>
          <w:szCs w:val="18"/>
        </w:rPr>
        <w:t>8</w:t>
      </w:r>
      <w:r w:rsidRPr="00874589">
        <w:rPr>
          <w:rFonts w:ascii="宋体" w:eastAsia="宋体" w:hAnsi="宋体" w:cs="宋体" w:hint="eastAsia"/>
          <w:color w:val="000000"/>
          <w:kern w:val="0"/>
          <w:sz w:val="18"/>
          <w:szCs w:val="18"/>
        </w:rPr>
        <w:t>mm</w:t>
      </w:r>
      <w:r w:rsidRPr="00874589">
        <w:rPr>
          <w:rFonts w:ascii="黑体" w:eastAsia="黑体" w:hAnsi="黑体" w:cs="宋体" w:hint="eastAsia"/>
          <w:color w:val="000000"/>
          <w:kern w:val="0"/>
          <w:sz w:val="18"/>
          <w:szCs w:val="18"/>
        </w:rPr>
        <w:t>X</w:t>
      </w:r>
      <w:r w:rsidRPr="00874589">
        <w:rPr>
          <w:rFonts w:ascii="宋体" w:eastAsia="宋体" w:hAnsi="宋体" w:cs="宋体" w:hint="eastAsia"/>
          <w:color w:val="000000"/>
          <w:kern w:val="0"/>
          <w:sz w:val="18"/>
          <w:szCs w:val="18"/>
        </w:rPr>
        <w:t>2</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mm的钢板）组合制作。用于窗的防护时，栅栏应安装在窗内侧，单个栅栏空间最大面积应不大于25</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mm</w:t>
      </w:r>
      <w:r w:rsidRPr="00874589">
        <w:rPr>
          <w:rFonts w:ascii="黑体" w:eastAsia="黑体" w:hAnsi="黑体" w:cs="宋体" w:hint="eastAsia"/>
          <w:color w:val="000000"/>
          <w:kern w:val="0"/>
          <w:sz w:val="18"/>
          <w:szCs w:val="18"/>
        </w:rPr>
        <w:t>X</w:t>
      </w:r>
      <w:r w:rsidRPr="00874589">
        <w:rPr>
          <w:rFonts w:ascii="宋体" w:eastAsia="宋体" w:hAnsi="宋体" w:cs="宋体" w:hint="eastAsia"/>
          <w:color w:val="000000"/>
          <w:kern w:val="0"/>
          <w:sz w:val="18"/>
          <w:szCs w:val="18"/>
        </w:rPr>
        <w:t>10</w:t>
      </w:r>
      <w:r w:rsidRPr="00874589">
        <w:rPr>
          <w:rFonts w:ascii="宋体" w:eastAsia="宋体" w:hAnsi="宋体" w:cs="宋体" w:hint="eastAsia"/>
          <w:color w:val="000000"/>
          <w:spacing w:val="40"/>
          <w:kern w:val="0"/>
          <w:sz w:val="18"/>
          <w:szCs w:val="18"/>
        </w:rPr>
        <w:t>0</w:t>
      </w:r>
      <w:r w:rsidRPr="00874589">
        <w:rPr>
          <w:rFonts w:ascii="宋体" w:eastAsia="宋体" w:hAnsi="宋体" w:cs="宋体" w:hint="eastAsia"/>
          <w:color w:val="000000"/>
          <w:kern w:val="0"/>
          <w:sz w:val="18"/>
          <w:szCs w:val="18"/>
        </w:rPr>
        <w:t>mm，并加装金属网。</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5.10.4</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栅栏应在采用直径不小于1</w:t>
      </w:r>
      <w:r w:rsidRPr="00874589">
        <w:rPr>
          <w:rFonts w:ascii="宋体" w:eastAsia="宋体" w:hAnsi="宋体" w:cs="宋体" w:hint="eastAsia"/>
          <w:color w:val="000000"/>
          <w:spacing w:val="40"/>
          <w:kern w:val="0"/>
          <w:sz w:val="18"/>
          <w:szCs w:val="18"/>
        </w:rPr>
        <w:t>2</w:t>
      </w:r>
      <w:r w:rsidRPr="00874589">
        <w:rPr>
          <w:rFonts w:ascii="宋体" w:eastAsia="宋体" w:hAnsi="宋体" w:cs="宋体" w:hint="eastAsia"/>
          <w:color w:val="000000"/>
          <w:kern w:val="0"/>
          <w:sz w:val="18"/>
          <w:szCs w:val="18"/>
        </w:rPr>
        <w:t>mm的膨胀螺丝固定，安装应牢固可靠。</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5.10.5</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防盗防火安全门及安装应符合DB31/321的规定，并根据管理规定使用二把防盗防火锁。</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5.10.6</w:t>
      </w:r>
      <w:r w:rsidRPr="00874589">
        <w:rPr>
          <w:rFonts w:ascii="宋体" w:eastAsia="宋体" w:hAnsi="宋体" w:cs="宋体" w:hint="eastAsia"/>
          <w:b/>
          <w:bCs/>
          <w:color w:val="000000"/>
          <w:kern w:val="0"/>
          <w:sz w:val="18"/>
          <w:szCs w:val="18"/>
        </w:rPr>
        <w:t>  </w:t>
      </w:r>
      <w:r w:rsidRPr="00874589">
        <w:rPr>
          <w:rFonts w:ascii="宋体" w:eastAsia="宋体" w:hAnsi="宋体" w:cs="宋体" w:hint="eastAsia"/>
          <w:color w:val="000000"/>
          <w:kern w:val="0"/>
          <w:sz w:val="18"/>
          <w:szCs w:val="18"/>
        </w:rPr>
        <w:t>枪支弹药柜应符合GB 10409的规定。</w:t>
      </w:r>
    </w:p>
    <w:p w:rsidR="00874589" w:rsidRPr="00874589" w:rsidRDefault="00874589" w:rsidP="00874589">
      <w:pPr>
        <w:widowControl/>
        <w:shd w:val="clear" w:color="auto" w:fill="FFFFFF"/>
        <w:spacing w:before="156" w:after="156"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6</w:t>
      </w:r>
      <w:r w:rsidRPr="00874589">
        <w:rPr>
          <w:rFonts w:ascii="宋体" w:eastAsia="宋体" w:hAnsi="宋体" w:cs="宋体" w:hint="eastAsia"/>
          <w:b/>
          <w:bCs/>
          <w:color w:val="000000"/>
          <w:kern w:val="0"/>
          <w:szCs w:val="21"/>
        </w:rPr>
        <w:t>  </w:t>
      </w:r>
      <w:r w:rsidRPr="00874589">
        <w:rPr>
          <w:rFonts w:ascii="黑体" w:eastAsia="黑体" w:hAnsi="黑体" w:cs="宋体" w:hint="eastAsia"/>
          <w:b/>
          <w:bCs/>
          <w:color w:val="000000"/>
          <w:kern w:val="0"/>
          <w:sz w:val="18"/>
          <w:szCs w:val="18"/>
        </w:rPr>
        <w:t>检验、验收、维护</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6.1</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安全技术防范系统竣工后应进行检验。系统检验应按GB 50348的规定。</w:t>
      </w:r>
    </w:p>
    <w:p w:rsidR="00874589" w:rsidRPr="00874589" w:rsidRDefault="00874589" w:rsidP="0087458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6.2</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 安全技术防范系统验收按照本标准第4章和GB 50348、GA 308的规定。</w:t>
      </w:r>
    </w:p>
    <w:p w:rsidR="00874589" w:rsidRPr="00874589" w:rsidRDefault="00874589" w:rsidP="00874589">
      <w:pPr>
        <w:widowControl/>
        <w:shd w:val="clear" w:color="auto" w:fill="FFFFFF"/>
        <w:spacing w:before="50" w:after="50" w:line="400" w:lineRule="atLeast"/>
        <w:jc w:val="left"/>
        <w:rPr>
          <w:rFonts w:ascii="微软雅黑" w:eastAsia="微软雅黑" w:hAnsi="微软雅黑" w:cs="宋体" w:hint="eastAsia"/>
          <w:color w:val="4A4A4A"/>
          <w:kern w:val="0"/>
          <w:sz w:val="18"/>
          <w:szCs w:val="18"/>
        </w:rPr>
      </w:pPr>
      <w:r w:rsidRPr="00874589">
        <w:rPr>
          <w:rFonts w:ascii="黑体" w:eastAsia="黑体" w:hAnsi="黑体" w:cs="宋体" w:hint="eastAsia"/>
          <w:b/>
          <w:bCs/>
          <w:color w:val="000000"/>
          <w:kern w:val="0"/>
          <w:szCs w:val="21"/>
        </w:rPr>
        <w:t>6.3</w:t>
      </w:r>
      <w:r w:rsidRPr="00874589">
        <w:rPr>
          <w:rFonts w:ascii="宋体" w:eastAsia="宋体" w:hAnsi="宋体" w:cs="宋体" w:hint="eastAsia"/>
          <w:b/>
          <w:bCs/>
          <w:color w:val="000000"/>
          <w:kern w:val="0"/>
          <w:szCs w:val="21"/>
        </w:rPr>
        <w:t> </w:t>
      </w:r>
      <w:r w:rsidRPr="00874589">
        <w:rPr>
          <w:rFonts w:ascii="宋体" w:eastAsia="宋体" w:hAnsi="宋体" w:cs="宋体" w:hint="eastAsia"/>
          <w:color w:val="000000"/>
          <w:kern w:val="0"/>
          <w:sz w:val="18"/>
          <w:szCs w:val="18"/>
        </w:rPr>
        <w:t> 安全技术防范系统应保持良好的运行状态，定期进行设备维护、保养和检测。系统（设备）出现故障后，应及时修复。</w:t>
      </w:r>
    </w:p>
    <w:p w:rsidR="00874589" w:rsidRPr="00874589" w:rsidRDefault="00874589" w:rsidP="00874589">
      <w:pPr>
        <w:jc w:val="center"/>
        <w:rPr>
          <w:rFonts w:hint="eastAsia"/>
        </w:rPr>
      </w:pPr>
      <w:bookmarkStart w:id="0" w:name="_GoBack"/>
      <w:bookmarkEnd w:id="0"/>
    </w:p>
    <w:sectPr w:rsidR="00874589" w:rsidRPr="00874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89"/>
    <w:rsid w:val="00651FDD"/>
    <w:rsid w:val="00874589"/>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5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2016-03-22T02:05:00Z</dcterms:created>
  <dcterms:modified xsi:type="dcterms:W3CDTF">2016-03-22T02:06:00Z</dcterms:modified>
</cp:coreProperties>
</file>